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80DD" w14:textId="0A3874D5" w:rsidR="002E2CCE" w:rsidRPr="00BB61E8" w:rsidRDefault="00BB61E8" w:rsidP="00BB61E8">
      <w:pPr>
        <w:jc w:val="right"/>
        <w:rPr>
          <w:rFonts w:ascii="Arial" w:hAnsi="Arial" w:cs="Arial"/>
          <w:b/>
          <w:bCs/>
          <w:sz w:val="28"/>
          <w:szCs w:val="28"/>
        </w:rPr>
      </w:pPr>
      <w:r w:rsidRPr="00BB61E8">
        <w:rPr>
          <w:rFonts w:ascii="Arial" w:hAnsi="Arial" w:cs="Arial"/>
          <w:b/>
          <w:bCs/>
          <w:sz w:val="28"/>
          <w:szCs w:val="28"/>
        </w:rPr>
        <w:t xml:space="preserve">Anlage </w:t>
      </w:r>
      <w:r w:rsidR="00EF5FBD">
        <w:rPr>
          <w:rFonts w:ascii="Arial" w:hAnsi="Arial" w:cs="Arial"/>
          <w:b/>
          <w:bCs/>
          <w:sz w:val="28"/>
          <w:szCs w:val="28"/>
        </w:rPr>
        <w:t xml:space="preserve">K </w:t>
      </w:r>
      <w:r w:rsidRPr="00BB61E8">
        <w:rPr>
          <w:rFonts w:ascii="Arial" w:hAnsi="Arial" w:cs="Arial"/>
          <w:b/>
          <w:bCs/>
          <w:sz w:val="28"/>
          <w:szCs w:val="28"/>
        </w:rPr>
        <w:t>1</w:t>
      </w:r>
    </w:p>
    <w:tbl>
      <w:tblPr>
        <w:tblW w:w="9778" w:type="dxa"/>
        <w:tblLayout w:type="fixed"/>
        <w:tblCellMar>
          <w:left w:w="70" w:type="dxa"/>
          <w:right w:w="70" w:type="dxa"/>
        </w:tblCellMar>
        <w:tblLook w:val="0000" w:firstRow="0" w:lastRow="0" w:firstColumn="0" w:lastColumn="0" w:noHBand="0" w:noVBand="0"/>
      </w:tblPr>
      <w:tblGrid>
        <w:gridCol w:w="9778"/>
      </w:tblGrid>
      <w:tr w:rsidR="003422B0" w:rsidRPr="0053405A" w14:paraId="711235C9" w14:textId="77777777" w:rsidTr="002E2CCE">
        <w:tc>
          <w:tcPr>
            <w:tcW w:w="9778" w:type="dxa"/>
          </w:tcPr>
          <w:p w14:paraId="2EE3B7E2" w14:textId="7961CCE3" w:rsidR="003422B0" w:rsidRPr="00BB61E8" w:rsidRDefault="003422B0" w:rsidP="0053405A">
            <w:pPr>
              <w:jc w:val="center"/>
              <w:rPr>
                <w:rFonts w:ascii="Arial" w:hAnsi="Arial" w:cs="Arial"/>
                <w:b/>
                <w:bCs/>
                <w:sz w:val="24"/>
                <w:szCs w:val="24"/>
              </w:rPr>
            </w:pPr>
          </w:p>
        </w:tc>
      </w:tr>
    </w:tbl>
    <w:p w14:paraId="63A5BD01" w14:textId="3548DF7C" w:rsidR="00A91429" w:rsidRDefault="004C4223" w:rsidP="00A91429">
      <w:pPr>
        <w:rPr>
          <w:rFonts w:ascii="Arial" w:hAnsi="Arial" w:cs="Arial"/>
          <w:sz w:val="24"/>
          <w:szCs w:val="24"/>
        </w:rPr>
      </w:pPr>
      <w:r>
        <w:rPr>
          <w:rFonts w:ascii="Arial" w:hAnsi="Arial" w:cs="Arial"/>
          <w:sz w:val="24"/>
          <w:szCs w:val="24"/>
        </w:rPr>
        <w:t xml:space="preserve">Hinweis: </w:t>
      </w:r>
      <w:r w:rsidR="00A91429">
        <w:rPr>
          <w:rFonts w:ascii="Arial" w:hAnsi="Arial" w:cs="Arial"/>
          <w:sz w:val="24"/>
          <w:szCs w:val="24"/>
        </w:rPr>
        <w:tab/>
      </w:r>
      <w:r w:rsidR="002E2CCE" w:rsidRPr="00A91429">
        <w:rPr>
          <w:rFonts w:ascii="Arial" w:hAnsi="Arial" w:cs="Arial"/>
          <w:b/>
          <w:bCs/>
          <w:color w:val="00B050"/>
          <w:sz w:val="24"/>
          <w:szCs w:val="24"/>
        </w:rPr>
        <w:t>grüner</w:t>
      </w:r>
      <w:r w:rsidR="002E2CCE">
        <w:rPr>
          <w:rFonts w:ascii="Arial" w:hAnsi="Arial" w:cs="Arial"/>
          <w:sz w:val="24"/>
          <w:szCs w:val="24"/>
        </w:rPr>
        <w:t xml:space="preserve"> Text ist an den individuellen Fall anzupassen</w:t>
      </w:r>
      <w:r w:rsidR="003D1217">
        <w:rPr>
          <w:rFonts w:ascii="Arial" w:hAnsi="Arial" w:cs="Arial"/>
          <w:sz w:val="24"/>
          <w:szCs w:val="24"/>
        </w:rPr>
        <w:t>,</w:t>
      </w:r>
    </w:p>
    <w:p w14:paraId="357EEA97" w14:textId="6850C6DF" w:rsidR="00BB61E8" w:rsidRDefault="003D1217" w:rsidP="00A91429">
      <w:pPr>
        <w:ind w:left="1416"/>
        <w:rPr>
          <w:rFonts w:ascii="Arial" w:hAnsi="Arial" w:cs="Arial"/>
          <w:sz w:val="24"/>
          <w:szCs w:val="24"/>
        </w:rPr>
      </w:pPr>
      <w:r w:rsidRPr="00A91429">
        <w:rPr>
          <w:rFonts w:ascii="Arial" w:hAnsi="Arial" w:cs="Arial"/>
          <w:b/>
          <w:bCs/>
          <w:color w:val="0070C0"/>
          <w:sz w:val="24"/>
          <w:szCs w:val="24"/>
        </w:rPr>
        <w:t xml:space="preserve">blauer </w:t>
      </w:r>
      <w:r>
        <w:rPr>
          <w:rFonts w:ascii="Arial" w:hAnsi="Arial" w:cs="Arial"/>
          <w:sz w:val="24"/>
          <w:szCs w:val="24"/>
        </w:rPr>
        <w:t>Text kann entfallen, wenn</w:t>
      </w:r>
      <w:r w:rsidR="00C11C96">
        <w:rPr>
          <w:rFonts w:ascii="Arial" w:hAnsi="Arial" w:cs="Arial"/>
          <w:sz w:val="24"/>
          <w:szCs w:val="24"/>
        </w:rPr>
        <w:t xml:space="preserve"> Versorgungsbezüge nicht zum Streitgegenstand gehören</w:t>
      </w:r>
    </w:p>
    <w:p w14:paraId="5286892C" w14:textId="77777777" w:rsidR="00C006E5" w:rsidRDefault="00C006E5" w:rsidP="00A91429">
      <w:pPr>
        <w:ind w:left="1416"/>
        <w:rPr>
          <w:rFonts w:ascii="Arial" w:hAnsi="Arial" w:cs="Arial"/>
          <w:sz w:val="24"/>
          <w:szCs w:val="24"/>
        </w:rPr>
      </w:pPr>
    </w:p>
    <w:p w14:paraId="0A3B724C" w14:textId="115EBD12" w:rsidR="002E2CCE" w:rsidRPr="0053405A" w:rsidRDefault="00C006E5">
      <w:pPr>
        <w:jc w:val="center"/>
        <w:rPr>
          <w:rFonts w:ascii="Arial" w:hAnsi="Arial" w:cs="Arial"/>
          <w:sz w:val="24"/>
          <w:szCs w:val="24"/>
        </w:rPr>
      </w:pPr>
      <w:r w:rsidRPr="00BB61E8">
        <w:rPr>
          <w:rFonts w:ascii="Arial" w:hAnsi="Arial" w:cs="Arial"/>
          <w:b/>
          <w:bCs/>
          <w:sz w:val="24"/>
          <w:szCs w:val="24"/>
        </w:rPr>
        <w:t>Entwurf eines Vorlagebeschlusses</w:t>
      </w:r>
    </w:p>
    <w:p w14:paraId="7A84F509" w14:textId="224B6301" w:rsidR="003422B0" w:rsidRDefault="00F1690C">
      <w:pPr>
        <w:spacing w:line="480" w:lineRule="exact"/>
        <w:jc w:val="both"/>
        <w:rPr>
          <w:rFonts w:ascii="Arial" w:hAnsi="Arial"/>
          <w:sz w:val="24"/>
        </w:rPr>
      </w:pPr>
      <w:r>
        <w:rPr>
          <w:rFonts w:ascii="Arial" w:hAnsi="Arial"/>
          <w:sz w:val="24"/>
        </w:rPr>
        <w:t>in pp</w:t>
      </w:r>
    </w:p>
    <w:p w14:paraId="2D47C000" w14:textId="77777777" w:rsidR="00F1690C" w:rsidRDefault="00F1690C">
      <w:pPr>
        <w:spacing w:line="480" w:lineRule="exact"/>
        <w:jc w:val="both"/>
        <w:rPr>
          <w:rFonts w:ascii="Arial" w:hAnsi="Arial"/>
          <w:sz w:val="24"/>
        </w:rPr>
      </w:pPr>
    </w:p>
    <w:p w14:paraId="59B94318" w14:textId="5DE4DB26" w:rsidR="005123A9" w:rsidRDefault="00261CE5" w:rsidP="00261CE5">
      <w:pPr>
        <w:spacing w:line="360" w:lineRule="exact"/>
        <w:jc w:val="both"/>
        <w:rPr>
          <w:rFonts w:ascii="Arial" w:hAnsi="Arial" w:cs="Arial"/>
          <w:sz w:val="24"/>
          <w:szCs w:val="24"/>
        </w:rPr>
      </w:pPr>
      <w:r w:rsidRPr="004D01DC">
        <w:rPr>
          <w:rFonts w:ascii="Arial" w:hAnsi="Arial" w:cs="Arial"/>
          <w:sz w:val="24"/>
          <w:szCs w:val="24"/>
        </w:rPr>
        <w:t xml:space="preserve">hat </w:t>
      </w:r>
      <w:r w:rsidR="004F34B9">
        <w:rPr>
          <w:rFonts w:ascii="Arial" w:hAnsi="Arial" w:cs="Arial"/>
          <w:sz w:val="24"/>
          <w:szCs w:val="24"/>
        </w:rPr>
        <w:t xml:space="preserve">das Verwaltungsgericht Berlin </w:t>
      </w:r>
      <w:r w:rsidRPr="004D01DC">
        <w:rPr>
          <w:rFonts w:ascii="Arial" w:hAnsi="Arial" w:cs="Arial"/>
          <w:sz w:val="24"/>
          <w:szCs w:val="24"/>
        </w:rPr>
        <w:t>b e s c h l o s s e n :</w:t>
      </w:r>
    </w:p>
    <w:p w14:paraId="334FCE0E" w14:textId="2FB82AFB" w:rsidR="005123A9" w:rsidRDefault="005123A9">
      <w:pPr>
        <w:overflowPunct/>
        <w:autoSpaceDE/>
        <w:autoSpaceDN/>
        <w:adjustRightInd/>
        <w:textAlignment w:val="auto"/>
        <w:rPr>
          <w:rFonts w:ascii="Arial" w:hAnsi="Arial" w:cs="Arial"/>
          <w:sz w:val="24"/>
          <w:szCs w:val="24"/>
        </w:rPr>
      </w:pPr>
    </w:p>
    <w:p w14:paraId="257BC9E2" w14:textId="2D6E7A56" w:rsidR="004F34B9" w:rsidRDefault="004F34B9" w:rsidP="003D2DD9">
      <w:pPr>
        <w:ind w:left="567" w:right="567"/>
        <w:jc w:val="both"/>
        <w:rPr>
          <w:rFonts w:ascii="Arial" w:hAnsi="Arial"/>
          <w:sz w:val="24"/>
        </w:rPr>
      </w:pPr>
      <w:r w:rsidRPr="004F34B9">
        <w:rPr>
          <w:rFonts w:ascii="Arial" w:hAnsi="Arial"/>
          <w:sz w:val="24"/>
        </w:rPr>
        <w:t>Das Verfahren wird ausgesetzt.</w:t>
      </w:r>
    </w:p>
    <w:p w14:paraId="0257F875" w14:textId="77777777" w:rsidR="004F34B9" w:rsidRPr="004F34B9" w:rsidRDefault="004F34B9" w:rsidP="003D2DD9">
      <w:pPr>
        <w:ind w:left="567" w:right="567"/>
        <w:jc w:val="both"/>
        <w:rPr>
          <w:rFonts w:ascii="Arial" w:hAnsi="Arial"/>
          <w:sz w:val="24"/>
        </w:rPr>
      </w:pPr>
    </w:p>
    <w:p w14:paraId="17A0BCDD" w14:textId="18FC9861" w:rsidR="003422B0" w:rsidRDefault="004F34B9" w:rsidP="004917EF">
      <w:pPr>
        <w:ind w:left="567" w:right="567"/>
        <w:rPr>
          <w:rFonts w:ascii="Arial" w:hAnsi="Arial"/>
          <w:sz w:val="24"/>
        </w:rPr>
      </w:pPr>
      <w:r w:rsidRPr="004F34B9">
        <w:rPr>
          <w:rFonts w:ascii="Arial" w:hAnsi="Arial"/>
          <w:sz w:val="24"/>
        </w:rPr>
        <w:t>Dem Bundesverfassungsgericht wird die Frage zur Entscheidung vorgelegt, ob</w:t>
      </w:r>
    </w:p>
    <w:p w14:paraId="7F4F30F5" w14:textId="77777777" w:rsidR="004F34B9" w:rsidRPr="003548FD" w:rsidRDefault="004F34B9" w:rsidP="003D2DD9">
      <w:pPr>
        <w:ind w:left="567" w:right="567"/>
        <w:jc w:val="both"/>
        <w:rPr>
          <w:rFonts w:ascii="Arial" w:hAnsi="Arial"/>
          <w:sz w:val="24"/>
        </w:rPr>
      </w:pPr>
    </w:p>
    <w:p w14:paraId="1410AAFF" w14:textId="092EC590" w:rsidR="00EA1592" w:rsidRPr="003548FD" w:rsidRDefault="00EA1592" w:rsidP="00287537">
      <w:pPr>
        <w:pStyle w:val="Listenabsatz"/>
        <w:numPr>
          <w:ilvl w:val="0"/>
          <w:numId w:val="1"/>
        </w:numPr>
        <w:overflowPunct/>
        <w:ind w:right="567"/>
        <w:jc w:val="both"/>
        <w:textAlignment w:val="auto"/>
        <w:rPr>
          <w:rFonts w:ascii="Arial" w:eastAsia="Calibri" w:hAnsi="Arial" w:cs="Arial"/>
          <w:sz w:val="24"/>
          <w:szCs w:val="24"/>
          <w:lang w:eastAsia="en-US"/>
        </w:rPr>
      </w:pPr>
      <w:r w:rsidRPr="003548FD">
        <w:rPr>
          <w:rFonts w:ascii="Arial" w:eastAsia="Calibri" w:hAnsi="Arial" w:cs="Arial"/>
          <w:sz w:val="24"/>
          <w:szCs w:val="24"/>
          <w:lang w:eastAsia="en-US"/>
        </w:rPr>
        <w:t>Anlage 15 Nummer 4 zu Artikel I § 2 Absatz 4 des Gesetzes zur Anpassung der Besoldung und Versorgung für das Land Berlin 2014/2015 und zur Änderung weiterer besoldungsrechtlicher Vorschriften vom 9. Juli 2014 (Gesetz- und Verordnungsblatt für Berlin Seite 250 – Grundgehaltssätze der Landesbesoldungsordnung R ab 1. August 2015),</w:t>
      </w:r>
    </w:p>
    <w:p w14:paraId="5E7CB361" w14:textId="77777777" w:rsidR="00EA1592" w:rsidRPr="003548FD" w:rsidRDefault="00EA1592" w:rsidP="00287537">
      <w:pPr>
        <w:pStyle w:val="Listenabsatz"/>
        <w:overflowPunct/>
        <w:ind w:left="1287" w:right="567"/>
        <w:jc w:val="both"/>
        <w:textAlignment w:val="auto"/>
        <w:rPr>
          <w:rFonts w:ascii="Arial" w:eastAsia="Calibri" w:hAnsi="Arial" w:cs="Arial"/>
          <w:sz w:val="24"/>
          <w:szCs w:val="24"/>
          <w:lang w:eastAsia="en-US"/>
        </w:rPr>
      </w:pPr>
    </w:p>
    <w:p w14:paraId="6ACE18CE" w14:textId="1579A8B2" w:rsidR="00EA1592" w:rsidRPr="003548FD" w:rsidRDefault="00EA1592" w:rsidP="00287537">
      <w:pPr>
        <w:pStyle w:val="Listenabsatz"/>
        <w:overflowPunct/>
        <w:ind w:left="1287" w:right="567"/>
        <w:jc w:val="both"/>
        <w:textAlignment w:val="auto"/>
        <w:rPr>
          <w:rFonts w:ascii="Arial" w:eastAsia="Calibri" w:hAnsi="Arial" w:cs="Arial"/>
          <w:sz w:val="24"/>
          <w:szCs w:val="24"/>
          <w:lang w:eastAsia="en-US"/>
        </w:rPr>
      </w:pPr>
      <w:r w:rsidRPr="003548FD">
        <w:rPr>
          <w:rFonts w:ascii="Arial" w:eastAsia="Calibri" w:hAnsi="Arial" w:cs="Arial"/>
          <w:sz w:val="24"/>
          <w:szCs w:val="24"/>
          <w:lang w:eastAsia="en-US"/>
        </w:rPr>
        <w:t xml:space="preserve">soweit sie vom 1. </w:t>
      </w:r>
      <w:r w:rsidR="003548FD" w:rsidRPr="003548FD">
        <w:rPr>
          <w:rFonts w:ascii="Arial" w:eastAsia="Calibri" w:hAnsi="Arial" w:cs="Arial"/>
          <w:sz w:val="24"/>
          <w:szCs w:val="24"/>
          <w:lang w:eastAsia="en-US"/>
        </w:rPr>
        <w:t xml:space="preserve">Januar 2016 </w:t>
      </w:r>
      <w:r w:rsidRPr="003548FD">
        <w:rPr>
          <w:rFonts w:ascii="Arial" w:eastAsia="Calibri" w:hAnsi="Arial" w:cs="Arial"/>
          <w:sz w:val="24"/>
          <w:szCs w:val="24"/>
          <w:lang w:eastAsia="en-US"/>
        </w:rPr>
        <w:t xml:space="preserve">bis zum 31. </w:t>
      </w:r>
      <w:r w:rsidR="003548FD" w:rsidRPr="003548FD">
        <w:rPr>
          <w:rFonts w:ascii="Arial" w:eastAsia="Calibri" w:hAnsi="Arial" w:cs="Arial"/>
          <w:sz w:val="24"/>
          <w:szCs w:val="24"/>
          <w:lang w:eastAsia="en-US"/>
        </w:rPr>
        <w:t>Juli</w:t>
      </w:r>
      <w:r w:rsidRPr="003548FD">
        <w:rPr>
          <w:rFonts w:ascii="Arial" w:eastAsia="Calibri" w:hAnsi="Arial" w:cs="Arial"/>
          <w:sz w:val="24"/>
          <w:szCs w:val="24"/>
          <w:lang w:eastAsia="en-US"/>
        </w:rPr>
        <w:t xml:space="preserve"> 201</w:t>
      </w:r>
      <w:r w:rsidR="00B464CF">
        <w:rPr>
          <w:rFonts w:ascii="Arial" w:eastAsia="Calibri" w:hAnsi="Arial" w:cs="Arial"/>
          <w:sz w:val="24"/>
          <w:szCs w:val="24"/>
          <w:lang w:eastAsia="en-US"/>
        </w:rPr>
        <w:t>6</w:t>
      </w:r>
      <w:r w:rsidRPr="003548FD">
        <w:rPr>
          <w:rFonts w:ascii="Arial" w:eastAsia="Calibri" w:hAnsi="Arial" w:cs="Arial"/>
          <w:sz w:val="24"/>
          <w:szCs w:val="24"/>
          <w:lang w:eastAsia="en-US"/>
        </w:rPr>
        <w:t xml:space="preserve"> die Besoldungsgruppen </w:t>
      </w:r>
      <w:r w:rsidRPr="003548FD">
        <w:rPr>
          <w:rFonts w:ascii="Arial" w:eastAsia="Calibri" w:hAnsi="Arial" w:cs="Arial"/>
          <w:color w:val="00B050"/>
          <w:sz w:val="24"/>
          <w:szCs w:val="24"/>
          <w:lang w:eastAsia="en-US"/>
        </w:rPr>
        <w:t>R 1 und R 2</w:t>
      </w:r>
      <w:r w:rsidRPr="003548FD">
        <w:rPr>
          <w:rFonts w:ascii="Arial" w:eastAsia="Calibri" w:hAnsi="Arial" w:cs="Arial"/>
          <w:sz w:val="24"/>
          <w:szCs w:val="24"/>
          <w:lang w:eastAsia="en-US"/>
        </w:rPr>
        <w:t xml:space="preserve"> betr</w:t>
      </w:r>
      <w:r w:rsidR="003548FD" w:rsidRPr="003548FD">
        <w:rPr>
          <w:rFonts w:ascii="Arial" w:eastAsia="Calibri" w:hAnsi="Arial" w:cs="Arial"/>
          <w:sz w:val="24"/>
          <w:szCs w:val="24"/>
          <w:lang w:eastAsia="en-US"/>
        </w:rPr>
        <w:t>ifft</w:t>
      </w:r>
      <w:r w:rsidR="00FF632B">
        <w:rPr>
          <w:rFonts w:ascii="Arial" w:eastAsia="Calibri" w:hAnsi="Arial" w:cs="Arial"/>
          <w:sz w:val="24"/>
          <w:szCs w:val="24"/>
          <w:lang w:eastAsia="en-US"/>
        </w:rPr>
        <w:t>,</w:t>
      </w:r>
    </w:p>
    <w:p w14:paraId="18C5DDCA" w14:textId="77777777" w:rsidR="003548FD" w:rsidRPr="00D021C4" w:rsidRDefault="003548FD" w:rsidP="00287537">
      <w:pPr>
        <w:pStyle w:val="Listenabsatz"/>
        <w:overflowPunct/>
        <w:ind w:left="1287" w:right="567"/>
        <w:jc w:val="both"/>
        <w:textAlignment w:val="auto"/>
        <w:rPr>
          <w:rFonts w:ascii="Arial" w:eastAsia="Calibri" w:hAnsi="Arial" w:cs="Arial"/>
          <w:sz w:val="24"/>
          <w:szCs w:val="24"/>
          <w:lang w:eastAsia="en-US"/>
        </w:rPr>
      </w:pPr>
    </w:p>
    <w:p w14:paraId="5814D8B7" w14:textId="77777777" w:rsidR="00C46322" w:rsidRDefault="003F5FB0" w:rsidP="00287537">
      <w:pPr>
        <w:pStyle w:val="Listenabsatz"/>
        <w:numPr>
          <w:ilvl w:val="0"/>
          <w:numId w:val="1"/>
        </w:numPr>
        <w:overflowPunct/>
        <w:ind w:right="567"/>
        <w:jc w:val="both"/>
        <w:textAlignment w:val="auto"/>
        <w:rPr>
          <w:rFonts w:ascii="Arial" w:eastAsia="Calibri" w:hAnsi="Arial" w:cs="Arial"/>
          <w:sz w:val="24"/>
          <w:szCs w:val="24"/>
          <w:lang w:eastAsia="en-US"/>
        </w:rPr>
      </w:pPr>
      <w:r w:rsidRPr="00D021C4">
        <w:rPr>
          <w:rFonts w:ascii="Arial" w:eastAsia="Calibri" w:hAnsi="Arial" w:cs="Arial"/>
          <w:sz w:val="24"/>
          <w:szCs w:val="24"/>
          <w:lang w:eastAsia="en-US"/>
        </w:rPr>
        <w:t>Anlage 1 Nummer 4 zu Artikel I § 2 Absatz 1 Satz 1 Nummern 1 und 2 des Gesetzes zur Anpassung der Besoldung und Versorgung für das Land Berlin 201</w:t>
      </w:r>
      <w:r w:rsidR="004F7B28">
        <w:rPr>
          <w:rFonts w:ascii="Arial" w:eastAsia="Calibri" w:hAnsi="Arial" w:cs="Arial"/>
          <w:sz w:val="24"/>
          <w:szCs w:val="24"/>
          <w:lang w:eastAsia="en-US"/>
        </w:rPr>
        <w:t>6</w:t>
      </w:r>
      <w:r w:rsidRPr="00D021C4">
        <w:rPr>
          <w:rFonts w:ascii="Arial" w:eastAsia="Calibri" w:hAnsi="Arial" w:cs="Arial"/>
          <w:sz w:val="24"/>
          <w:szCs w:val="24"/>
          <w:lang w:eastAsia="en-US"/>
        </w:rPr>
        <w:t xml:space="preserve"> und zur Änderung weiterer besoldungsrechtlicher Vorschriften vom </w:t>
      </w:r>
      <w:r w:rsidR="00D021C4" w:rsidRPr="00D021C4">
        <w:rPr>
          <w:rFonts w:ascii="Arial" w:eastAsia="Calibri" w:hAnsi="Arial" w:cs="Arial"/>
          <w:sz w:val="24"/>
          <w:szCs w:val="24"/>
          <w:lang w:eastAsia="en-US"/>
        </w:rPr>
        <w:t>17</w:t>
      </w:r>
      <w:r w:rsidRPr="00D021C4">
        <w:rPr>
          <w:rFonts w:ascii="Arial" w:eastAsia="Calibri" w:hAnsi="Arial" w:cs="Arial"/>
          <w:sz w:val="24"/>
          <w:szCs w:val="24"/>
          <w:lang w:eastAsia="en-US"/>
        </w:rPr>
        <w:t>. Ju</w:t>
      </w:r>
      <w:r w:rsidR="00D021C4" w:rsidRPr="00D021C4">
        <w:rPr>
          <w:rFonts w:ascii="Arial" w:eastAsia="Calibri" w:hAnsi="Arial" w:cs="Arial"/>
          <w:sz w:val="24"/>
          <w:szCs w:val="24"/>
          <w:lang w:eastAsia="en-US"/>
        </w:rPr>
        <w:t>ni</w:t>
      </w:r>
      <w:r w:rsidRPr="00D021C4">
        <w:rPr>
          <w:rFonts w:ascii="Arial" w:eastAsia="Calibri" w:hAnsi="Arial" w:cs="Arial"/>
          <w:sz w:val="24"/>
          <w:szCs w:val="24"/>
          <w:lang w:eastAsia="en-US"/>
        </w:rPr>
        <w:t xml:space="preserve"> 201</w:t>
      </w:r>
      <w:r w:rsidR="00D021C4" w:rsidRPr="00D021C4">
        <w:rPr>
          <w:rFonts w:ascii="Arial" w:eastAsia="Calibri" w:hAnsi="Arial" w:cs="Arial"/>
          <w:sz w:val="24"/>
          <w:szCs w:val="24"/>
          <w:lang w:eastAsia="en-US"/>
        </w:rPr>
        <w:t>6</w:t>
      </w:r>
      <w:r w:rsidRPr="00D021C4">
        <w:rPr>
          <w:rFonts w:ascii="Arial" w:eastAsia="Calibri" w:hAnsi="Arial" w:cs="Arial"/>
          <w:sz w:val="24"/>
          <w:szCs w:val="24"/>
          <w:lang w:eastAsia="en-US"/>
        </w:rPr>
        <w:t xml:space="preserve"> (Gesetz- und Verordnungsblatt für Berlin Seite 3</w:t>
      </w:r>
      <w:r w:rsidR="00D021C4" w:rsidRPr="00D021C4">
        <w:rPr>
          <w:rFonts w:ascii="Arial" w:eastAsia="Calibri" w:hAnsi="Arial" w:cs="Arial"/>
          <w:sz w:val="24"/>
          <w:szCs w:val="24"/>
          <w:lang w:eastAsia="en-US"/>
        </w:rPr>
        <w:t>34</w:t>
      </w:r>
      <w:r w:rsidRPr="00D021C4">
        <w:rPr>
          <w:rFonts w:ascii="Arial" w:eastAsia="Calibri" w:hAnsi="Arial" w:cs="Arial"/>
          <w:sz w:val="24"/>
          <w:szCs w:val="24"/>
          <w:lang w:eastAsia="en-US"/>
        </w:rPr>
        <w:t xml:space="preserve"> – Grundgehaltssätze der Landesbesoldungsordnung R </w:t>
      </w:r>
      <w:r w:rsidRPr="00813A10">
        <w:rPr>
          <w:rFonts w:ascii="Arial" w:eastAsia="Calibri" w:hAnsi="Arial" w:cs="Arial"/>
          <w:sz w:val="24"/>
          <w:szCs w:val="24"/>
          <w:lang w:eastAsia="en-US"/>
        </w:rPr>
        <w:t>ab 1. August 201</w:t>
      </w:r>
      <w:r w:rsidR="00D021C4" w:rsidRPr="00813A10">
        <w:rPr>
          <w:rFonts w:ascii="Arial" w:eastAsia="Calibri" w:hAnsi="Arial" w:cs="Arial"/>
          <w:sz w:val="24"/>
          <w:szCs w:val="24"/>
          <w:lang w:eastAsia="en-US"/>
        </w:rPr>
        <w:t>6</w:t>
      </w:r>
      <w:r w:rsidRPr="00813A10">
        <w:rPr>
          <w:rFonts w:ascii="Arial" w:eastAsia="Calibri" w:hAnsi="Arial" w:cs="Arial"/>
          <w:sz w:val="24"/>
          <w:szCs w:val="24"/>
          <w:lang w:eastAsia="en-US"/>
        </w:rPr>
        <w:t>)</w:t>
      </w:r>
      <w:r w:rsidR="00B464CF" w:rsidRPr="00813A10">
        <w:rPr>
          <w:rFonts w:ascii="Arial" w:eastAsia="Calibri" w:hAnsi="Arial" w:cs="Arial"/>
          <w:sz w:val="24"/>
          <w:szCs w:val="24"/>
          <w:lang w:eastAsia="en-US"/>
        </w:rPr>
        <w:t>,</w:t>
      </w:r>
    </w:p>
    <w:p w14:paraId="7250C5DE" w14:textId="77777777" w:rsidR="00312FD3" w:rsidRPr="00312FD3" w:rsidRDefault="00312FD3" w:rsidP="00287537">
      <w:pPr>
        <w:overflowPunct/>
        <w:ind w:left="927" w:right="567"/>
        <w:jc w:val="both"/>
        <w:textAlignment w:val="auto"/>
        <w:rPr>
          <w:rFonts w:ascii="Arial" w:eastAsia="Calibri" w:hAnsi="Arial" w:cs="Arial"/>
          <w:sz w:val="24"/>
          <w:szCs w:val="24"/>
          <w:lang w:eastAsia="en-US"/>
        </w:rPr>
      </w:pPr>
    </w:p>
    <w:p w14:paraId="3ECB8F82" w14:textId="689C87DB" w:rsidR="003F5FB0" w:rsidRPr="00312FD3" w:rsidRDefault="003F5FB0" w:rsidP="00287537">
      <w:pPr>
        <w:overflowPunct/>
        <w:ind w:left="1287" w:right="567"/>
        <w:jc w:val="both"/>
        <w:textAlignment w:val="auto"/>
        <w:rPr>
          <w:rFonts w:ascii="Arial" w:eastAsia="Calibri" w:hAnsi="Arial" w:cs="Arial"/>
          <w:sz w:val="24"/>
          <w:szCs w:val="24"/>
          <w:lang w:eastAsia="en-US"/>
        </w:rPr>
      </w:pPr>
      <w:r w:rsidRPr="00312FD3">
        <w:rPr>
          <w:rFonts w:ascii="Arial" w:eastAsia="Calibri" w:hAnsi="Arial" w:cs="Arial"/>
          <w:sz w:val="24"/>
          <w:szCs w:val="24"/>
          <w:lang w:eastAsia="en-US"/>
        </w:rPr>
        <w:t>soweit sie vom 1. August 201</w:t>
      </w:r>
      <w:r w:rsidR="004F7B28" w:rsidRPr="00312FD3">
        <w:rPr>
          <w:rFonts w:ascii="Arial" w:eastAsia="Calibri" w:hAnsi="Arial" w:cs="Arial"/>
          <w:sz w:val="24"/>
          <w:szCs w:val="24"/>
          <w:lang w:eastAsia="en-US"/>
        </w:rPr>
        <w:t>6</w:t>
      </w:r>
      <w:r w:rsidRPr="00312FD3">
        <w:rPr>
          <w:rFonts w:ascii="Arial" w:eastAsia="Calibri" w:hAnsi="Arial" w:cs="Arial"/>
          <w:sz w:val="24"/>
          <w:szCs w:val="24"/>
          <w:lang w:eastAsia="en-US"/>
        </w:rPr>
        <w:t xml:space="preserve"> bis zum 31. </w:t>
      </w:r>
      <w:r w:rsidR="00D021C4" w:rsidRPr="00312FD3">
        <w:rPr>
          <w:rFonts w:ascii="Arial" w:eastAsia="Calibri" w:hAnsi="Arial" w:cs="Arial"/>
          <w:sz w:val="24"/>
          <w:szCs w:val="24"/>
          <w:lang w:eastAsia="en-US"/>
        </w:rPr>
        <w:t>Juli</w:t>
      </w:r>
      <w:r w:rsidRPr="00312FD3">
        <w:rPr>
          <w:rFonts w:ascii="Arial" w:eastAsia="Calibri" w:hAnsi="Arial" w:cs="Arial"/>
          <w:sz w:val="24"/>
          <w:szCs w:val="24"/>
          <w:lang w:eastAsia="en-US"/>
        </w:rPr>
        <w:t xml:space="preserve"> 201</w:t>
      </w:r>
      <w:r w:rsidR="004F7B28" w:rsidRPr="00312FD3">
        <w:rPr>
          <w:rFonts w:ascii="Arial" w:eastAsia="Calibri" w:hAnsi="Arial" w:cs="Arial"/>
          <w:sz w:val="24"/>
          <w:szCs w:val="24"/>
          <w:lang w:eastAsia="en-US"/>
        </w:rPr>
        <w:t>7</w:t>
      </w:r>
      <w:r w:rsidRPr="00312FD3">
        <w:rPr>
          <w:rFonts w:ascii="Arial" w:eastAsia="Calibri" w:hAnsi="Arial" w:cs="Arial"/>
          <w:sz w:val="24"/>
          <w:szCs w:val="24"/>
          <w:lang w:eastAsia="en-US"/>
        </w:rPr>
        <w:t xml:space="preserve"> die Besoldungsgruppen </w:t>
      </w:r>
      <w:r w:rsidRPr="00312FD3">
        <w:rPr>
          <w:rFonts w:ascii="Arial" w:eastAsia="Calibri" w:hAnsi="Arial" w:cs="Arial"/>
          <w:color w:val="00B050"/>
          <w:sz w:val="24"/>
          <w:szCs w:val="24"/>
          <w:lang w:eastAsia="en-US"/>
        </w:rPr>
        <w:t xml:space="preserve">R 1 und R 2 </w:t>
      </w:r>
      <w:r w:rsidRPr="00312FD3">
        <w:rPr>
          <w:rFonts w:ascii="Arial" w:eastAsia="Calibri" w:hAnsi="Arial" w:cs="Arial"/>
          <w:sz w:val="24"/>
          <w:szCs w:val="24"/>
          <w:lang w:eastAsia="en-US"/>
        </w:rPr>
        <w:t>betr</w:t>
      </w:r>
      <w:r w:rsidR="00D021C4" w:rsidRPr="00312FD3">
        <w:rPr>
          <w:rFonts w:ascii="Arial" w:eastAsia="Calibri" w:hAnsi="Arial" w:cs="Arial"/>
          <w:sz w:val="24"/>
          <w:szCs w:val="24"/>
          <w:lang w:eastAsia="en-US"/>
        </w:rPr>
        <w:t>ifft</w:t>
      </w:r>
      <w:r w:rsidRPr="00312FD3">
        <w:rPr>
          <w:rFonts w:ascii="Arial" w:eastAsia="Calibri" w:hAnsi="Arial" w:cs="Arial"/>
          <w:sz w:val="24"/>
          <w:szCs w:val="24"/>
          <w:lang w:eastAsia="en-US"/>
        </w:rPr>
        <w:t xml:space="preserve">, </w:t>
      </w:r>
    </w:p>
    <w:p w14:paraId="224D3569" w14:textId="77777777" w:rsidR="003F5FB0" w:rsidRPr="00813A10" w:rsidRDefault="003F5FB0" w:rsidP="00287537">
      <w:pPr>
        <w:pStyle w:val="Listenabsatz"/>
        <w:overflowPunct/>
        <w:ind w:left="1287" w:right="567"/>
        <w:jc w:val="both"/>
        <w:textAlignment w:val="auto"/>
        <w:rPr>
          <w:rFonts w:ascii="Arial" w:eastAsia="Calibri" w:hAnsi="Arial" w:cs="Arial"/>
          <w:sz w:val="24"/>
          <w:szCs w:val="24"/>
          <w:lang w:eastAsia="en-US"/>
        </w:rPr>
      </w:pPr>
    </w:p>
    <w:p w14:paraId="43F07D11" w14:textId="28B61605" w:rsidR="00554C0E" w:rsidRPr="00554C0E" w:rsidRDefault="00554C0E" w:rsidP="00287537">
      <w:pPr>
        <w:pStyle w:val="Listenabsatz"/>
        <w:numPr>
          <w:ilvl w:val="0"/>
          <w:numId w:val="1"/>
        </w:numPr>
        <w:overflowPunct/>
        <w:ind w:right="567"/>
        <w:jc w:val="both"/>
        <w:textAlignment w:val="auto"/>
        <w:rPr>
          <w:rFonts w:ascii="Arial" w:eastAsia="Calibri" w:hAnsi="Arial" w:cs="Arial"/>
          <w:sz w:val="24"/>
          <w:szCs w:val="24"/>
          <w:lang w:eastAsia="en-US"/>
        </w:rPr>
      </w:pPr>
      <w:bookmarkStart w:id="0" w:name="_Hlk88216173"/>
      <w:r w:rsidRPr="00D021C4">
        <w:rPr>
          <w:rFonts w:ascii="Arial" w:eastAsia="Calibri" w:hAnsi="Arial" w:cs="Arial"/>
          <w:sz w:val="24"/>
          <w:szCs w:val="24"/>
          <w:lang w:eastAsia="en-US"/>
        </w:rPr>
        <w:t xml:space="preserve">Anlage 1 Nummer 4 </w:t>
      </w:r>
      <w:r w:rsidRPr="00C97CDD">
        <w:rPr>
          <w:rFonts w:ascii="Arial" w:eastAsia="Calibri" w:hAnsi="Arial" w:cs="Arial"/>
          <w:sz w:val="24"/>
          <w:szCs w:val="24"/>
          <w:lang w:eastAsia="en-US"/>
        </w:rPr>
        <w:t>zu Artikel I § 2 Absatz 1 Satz 1 Nummern 1 und 2 des</w:t>
      </w:r>
      <w:r w:rsidRPr="00554C0E">
        <w:rPr>
          <w:rFonts w:ascii="Arial" w:eastAsia="Calibri" w:hAnsi="Arial" w:cs="Arial"/>
          <w:sz w:val="24"/>
          <w:szCs w:val="24"/>
          <w:lang w:eastAsia="en-US"/>
        </w:rPr>
        <w:t xml:space="preserve"> </w:t>
      </w:r>
      <w:bookmarkStart w:id="1" w:name="_Hlk88228426"/>
      <w:r w:rsidRPr="00554C0E">
        <w:rPr>
          <w:rFonts w:ascii="Arial" w:eastAsia="Calibri" w:hAnsi="Arial" w:cs="Arial"/>
          <w:sz w:val="24"/>
          <w:szCs w:val="24"/>
          <w:lang w:eastAsia="en-US"/>
        </w:rPr>
        <w:t>Gesetzes zur Anpassung der Besoldung und Versorgung für das Land Berlin 201</w:t>
      </w:r>
      <w:r w:rsidR="00AF37D3">
        <w:rPr>
          <w:rFonts w:ascii="Arial" w:eastAsia="Calibri" w:hAnsi="Arial" w:cs="Arial"/>
          <w:sz w:val="24"/>
          <w:szCs w:val="24"/>
          <w:lang w:eastAsia="en-US"/>
        </w:rPr>
        <w:t>7</w:t>
      </w:r>
      <w:r w:rsidRPr="00554C0E">
        <w:rPr>
          <w:rFonts w:ascii="Arial" w:eastAsia="Calibri" w:hAnsi="Arial" w:cs="Arial"/>
          <w:sz w:val="24"/>
          <w:szCs w:val="24"/>
          <w:lang w:eastAsia="en-US"/>
        </w:rPr>
        <w:t>/201</w:t>
      </w:r>
      <w:r w:rsidR="00AF37D3">
        <w:rPr>
          <w:rFonts w:ascii="Arial" w:eastAsia="Calibri" w:hAnsi="Arial" w:cs="Arial"/>
          <w:sz w:val="24"/>
          <w:szCs w:val="24"/>
          <w:lang w:eastAsia="en-US"/>
        </w:rPr>
        <w:t>8, zur Änderung des Sonderzahlungsgesetzes und zur Änderung weiterer besoldungsrechtlicher Vorschriften</w:t>
      </w:r>
      <w:r w:rsidRPr="00554C0E">
        <w:rPr>
          <w:rFonts w:ascii="Arial" w:eastAsia="Calibri" w:hAnsi="Arial" w:cs="Arial"/>
          <w:sz w:val="24"/>
          <w:szCs w:val="24"/>
          <w:lang w:eastAsia="en-US"/>
        </w:rPr>
        <w:t xml:space="preserve"> vom 2</w:t>
      </w:r>
      <w:r w:rsidR="00AF37D3">
        <w:rPr>
          <w:rFonts w:ascii="Arial" w:eastAsia="Calibri" w:hAnsi="Arial" w:cs="Arial"/>
          <w:sz w:val="24"/>
          <w:szCs w:val="24"/>
          <w:lang w:eastAsia="en-US"/>
        </w:rPr>
        <w:t>0</w:t>
      </w:r>
      <w:r w:rsidRPr="00554C0E">
        <w:rPr>
          <w:rFonts w:ascii="Arial" w:eastAsia="Calibri" w:hAnsi="Arial" w:cs="Arial"/>
          <w:sz w:val="24"/>
          <w:szCs w:val="24"/>
          <w:lang w:eastAsia="en-US"/>
        </w:rPr>
        <w:t xml:space="preserve">. </w:t>
      </w:r>
      <w:r w:rsidR="00AF37D3">
        <w:rPr>
          <w:rFonts w:ascii="Arial" w:eastAsia="Calibri" w:hAnsi="Arial" w:cs="Arial"/>
          <w:sz w:val="24"/>
          <w:szCs w:val="24"/>
          <w:lang w:eastAsia="en-US"/>
        </w:rPr>
        <w:t>Juli</w:t>
      </w:r>
      <w:r w:rsidRPr="00554C0E">
        <w:rPr>
          <w:rFonts w:ascii="Arial" w:eastAsia="Calibri" w:hAnsi="Arial" w:cs="Arial"/>
          <w:sz w:val="24"/>
          <w:szCs w:val="24"/>
          <w:lang w:eastAsia="en-US"/>
        </w:rPr>
        <w:t xml:space="preserve"> 201</w:t>
      </w:r>
      <w:r w:rsidR="00AF37D3">
        <w:rPr>
          <w:rFonts w:ascii="Arial" w:eastAsia="Calibri" w:hAnsi="Arial" w:cs="Arial"/>
          <w:sz w:val="24"/>
          <w:szCs w:val="24"/>
          <w:lang w:eastAsia="en-US"/>
        </w:rPr>
        <w:t>7</w:t>
      </w:r>
      <w:r w:rsidRPr="00554C0E">
        <w:rPr>
          <w:rFonts w:ascii="Arial" w:eastAsia="Calibri" w:hAnsi="Arial" w:cs="Arial"/>
          <w:sz w:val="24"/>
          <w:szCs w:val="24"/>
          <w:lang w:eastAsia="en-US"/>
        </w:rPr>
        <w:t xml:space="preserve"> (Gesetz- und Verordnungsblatt für Berlin Seite </w:t>
      </w:r>
      <w:r w:rsidR="00AF37D3">
        <w:rPr>
          <w:rFonts w:ascii="Arial" w:eastAsia="Calibri" w:hAnsi="Arial" w:cs="Arial"/>
          <w:sz w:val="24"/>
          <w:szCs w:val="24"/>
          <w:lang w:eastAsia="en-US"/>
        </w:rPr>
        <w:t>382</w:t>
      </w:r>
      <w:r w:rsidRPr="00554C0E">
        <w:rPr>
          <w:rFonts w:ascii="Arial" w:eastAsia="Calibri" w:hAnsi="Arial" w:cs="Arial"/>
          <w:sz w:val="24"/>
          <w:szCs w:val="24"/>
          <w:lang w:eastAsia="en-US"/>
        </w:rPr>
        <w:t xml:space="preserve"> </w:t>
      </w:r>
      <w:bookmarkEnd w:id="1"/>
      <w:r w:rsidRPr="00554C0E">
        <w:rPr>
          <w:rFonts w:ascii="Arial" w:eastAsia="Calibri" w:hAnsi="Arial" w:cs="Arial"/>
          <w:sz w:val="24"/>
          <w:szCs w:val="24"/>
          <w:lang w:eastAsia="en-US"/>
        </w:rPr>
        <w:t>– Grundgehaltssätze der Landesbesoldungsordnung R ab 1. August 201</w:t>
      </w:r>
      <w:r w:rsidR="00AF37D3">
        <w:rPr>
          <w:rFonts w:ascii="Arial" w:eastAsia="Calibri" w:hAnsi="Arial" w:cs="Arial"/>
          <w:sz w:val="24"/>
          <w:szCs w:val="24"/>
          <w:lang w:eastAsia="en-US"/>
        </w:rPr>
        <w:t>7</w:t>
      </w:r>
      <w:r w:rsidRPr="00554C0E">
        <w:rPr>
          <w:rFonts w:ascii="Arial" w:eastAsia="Calibri" w:hAnsi="Arial" w:cs="Arial"/>
          <w:sz w:val="24"/>
          <w:szCs w:val="24"/>
          <w:lang w:eastAsia="en-US"/>
        </w:rPr>
        <w:t>)</w:t>
      </w:r>
      <w:bookmarkEnd w:id="0"/>
      <w:r w:rsidRPr="00554C0E">
        <w:rPr>
          <w:rFonts w:ascii="Arial" w:eastAsia="Calibri" w:hAnsi="Arial" w:cs="Arial"/>
          <w:sz w:val="24"/>
          <w:szCs w:val="24"/>
          <w:lang w:eastAsia="en-US"/>
        </w:rPr>
        <w:t xml:space="preserve"> und</w:t>
      </w:r>
    </w:p>
    <w:p w14:paraId="7BFAD48E" w14:textId="77777777" w:rsidR="00554C0E" w:rsidRPr="00554C0E" w:rsidRDefault="00554C0E" w:rsidP="00287537">
      <w:pPr>
        <w:pStyle w:val="Listenabsatz"/>
        <w:overflowPunct/>
        <w:ind w:left="1287" w:right="567"/>
        <w:jc w:val="both"/>
        <w:textAlignment w:val="auto"/>
        <w:rPr>
          <w:rFonts w:ascii="Arial" w:eastAsia="Calibri" w:hAnsi="Arial" w:cs="Arial"/>
          <w:sz w:val="24"/>
          <w:szCs w:val="24"/>
          <w:lang w:eastAsia="en-US"/>
        </w:rPr>
      </w:pPr>
    </w:p>
    <w:p w14:paraId="60B9548E" w14:textId="1CF2C6F6" w:rsidR="00554C0E" w:rsidRPr="00554C0E" w:rsidRDefault="00AF37D3" w:rsidP="00287537">
      <w:pPr>
        <w:pStyle w:val="Listenabsatz"/>
        <w:numPr>
          <w:ilvl w:val="0"/>
          <w:numId w:val="1"/>
        </w:numPr>
        <w:overflowPunct/>
        <w:ind w:right="567"/>
        <w:jc w:val="both"/>
        <w:textAlignment w:val="auto"/>
        <w:rPr>
          <w:rFonts w:ascii="Arial" w:eastAsia="Calibri" w:hAnsi="Arial" w:cs="Arial"/>
          <w:sz w:val="24"/>
          <w:szCs w:val="24"/>
          <w:lang w:eastAsia="en-US"/>
        </w:rPr>
      </w:pPr>
      <w:r w:rsidRPr="00D63CFB">
        <w:rPr>
          <w:rFonts w:ascii="Arial" w:eastAsia="Calibri" w:hAnsi="Arial" w:cs="Arial"/>
          <w:sz w:val="24"/>
          <w:szCs w:val="24"/>
          <w:lang w:eastAsia="en-US"/>
        </w:rPr>
        <w:t>Anlage 1</w:t>
      </w:r>
      <w:r w:rsidR="00763BA8" w:rsidRPr="00D63CFB">
        <w:rPr>
          <w:rFonts w:ascii="Arial" w:eastAsia="Calibri" w:hAnsi="Arial" w:cs="Arial"/>
          <w:sz w:val="24"/>
          <w:szCs w:val="24"/>
          <w:lang w:eastAsia="en-US"/>
        </w:rPr>
        <w:t>5</w:t>
      </w:r>
      <w:r w:rsidRPr="00D63CFB">
        <w:rPr>
          <w:rFonts w:ascii="Arial" w:eastAsia="Calibri" w:hAnsi="Arial" w:cs="Arial"/>
          <w:sz w:val="24"/>
          <w:szCs w:val="24"/>
          <w:lang w:eastAsia="en-US"/>
        </w:rPr>
        <w:t xml:space="preserve"> Nummer </w:t>
      </w:r>
      <w:r w:rsidR="00763BA8" w:rsidRPr="00D63CFB">
        <w:rPr>
          <w:rFonts w:ascii="Arial" w:eastAsia="Calibri" w:hAnsi="Arial" w:cs="Arial"/>
          <w:sz w:val="24"/>
          <w:szCs w:val="24"/>
          <w:lang w:eastAsia="en-US"/>
        </w:rPr>
        <w:t xml:space="preserve">4 </w:t>
      </w:r>
      <w:r w:rsidRPr="00D63CFB">
        <w:rPr>
          <w:rFonts w:ascii="Arial" w:eastAsia="Calibri" w:hAnsi="Arial" w:cs="Arial"/>
          <w:sz w:val="24"/>
          <w:szCs w:val="24"/>
          <w:lang w:eastAsia="en-US"/>
        </w:rPr>
        <w:t>zu Artikel I</w:t>
      </w:r>
      <w:r w:rsidRPr="00AF37D3">
        <w:rPr>
          <w:rFonts w:ascii="Arial" w:eastAsia="Calibri" w:hAnsi="Arial" w:cs="Arial"/>
          <w:sz w:val="24"/>
          <w:szCs w:val="24"/>
          <w:lang w:eastAsia="en-US"/>
        </w:rPr>
        <w:t xml:space="preserve"> § 2 Absatz </w:t>
      </w:r>
      <w:r w:rsidR="00C97CDD">
        <w:rPr>
          <w:rFonts w:ascii="Arial" w:eastAsia="Calibri" w:hAnsi="Arial" w:cs="Arial"/>
          <w:sz w:val="24"/>
          <w:szCs w:val="24"/>
          <w:lang w:eastAsia="en-US"/>
        </w:rPr>
        <w:t>4</w:t>
      </w:r>
      <w:r w:rsidRPr="00AF37D3">
        <w:rPr>
          <w:rFonts w:ascii="Arial" w:eastAsia="Calibri" w:hAnsi="Arial" w:cs="Arial"/>
          <w:sz w:val="24"/>
          <w:szCs w:val="24"/>
          <w:lang w:eastAsia="en-US"/>
        </w:rPr>
        <w:t xml:space="preserve"> des Gesetzes zur Anpassung der Besoldung und Versorgung für das Land Berlin 2017/2018, zur Änderung des Sonderzahlungsgesetzes und zur Änderung weiterer besoldungsrechtlicher Vorschriften vom 20. Juli 2017 (Gesetz- und Verordnungsblatt für Berlin Seite 382 – Grundgehaltssätze der Landesbesoldungsordnung R ab 1. </w:t>
      </w:r>
      <w:r w:rsidR="00C97CDD">
        <w:rPr>
          <w:rFonts w:ascii="Arial" w:eastAsia="Calibri" w:hAnsi="Arial" w:cs="Arial"/>
          <w:sz w:val="24"/>
          <w:szCs w:val="24"/>
          <w:lang w:eastAsia="en-US"/>
        </w:rPr>
        <w:t>Juni</w:t>
      </w:r>
      <w:r w:rsidRPr="00AF37D3">
        <w:rPr>
          <w:rFonts w:ascii="Arial" w:eastAsia="Calibri" w:hAnsi="Arial" w:cs="Arial"/>
          <w:sz w:val="24"/>
          <w:szCs w:val="24"/>
          <w:lang w:eastAsia="en-US"/>
        </w:rPr>
        <w:t xml:space="preserve"> 201</w:t>
      </w:r>
      <w:r w:rsidR="00C97CDD">
        <w:rPr>
          <w:rFonts w:ascii="Arial" w:eastAsia="Calibri" w:hAnsi="Arial" w:cs="Arial"/>
          <w:sz w:val="24"/>
          <w:szCs w:val="24"/>
          <w:lang w:eastAsia="en-US"/>
        </w:rPr>
        <w:t>8</w:t>
      </w:r>
      <w:r w:rsidRPr="00AF37D3">
        <w:rPr>
          <w:rFonts w:ascii="Arial" w:eastAsia="Calibri" w:hAnsi="Arial" w:cs="Arial"/>
          <w:sz w:val="24"/>
          <w:szCs w:val="24"/>
          <w:lang w:eastAsia="en-US"/>
        </w:rPr>
        <w:t>)</w:t>
      </w:r>
      <w:r w:rsidR="00554C0E" w:rsidRPr="00554C0E">
        <w:rPr>
          <w:rFonts w:ascii="Arial" w:eastAsia="Calibri" w:hAnsi="Arial" w:cs="Arial"/>
          <w:sz w:val="24"/>
          <w:szCs w:val="24"/>
          <w:lang w:eastAsia="en-US"/>
        </w:rPr>
        <w:t>,</w:t>
      </w:r>
    </w:p>
    <w:p w14:paraId="40EDA6EC" w14:textId="77777777" w:rsidR="00554C0E" w:rsidRPr="00554C0E" w:rsidRDefault="00554C0E" w:rsidP="00287537">
      <w:pPr>
        <w:pStyle w:val="Listenabsatz"/>
        <w:overflowPunct/>
        <w:ind w:left="1287" w:right="567"/>
        <w:jc w:val="both"/>
        <w:textAlignment w:val="auto"/>
        <w:rPr>
          <w:rFonts w:ascii="Arial" w:eastAsia="Calibri" w:hAnsi="Arial" w:cs="Arial"/>
          <w:sz w:val="24"/>
          <w:szCs w:val="24"/>
          <w:lang w:eastAsia="en-US"/>
        </w:rPr>
      </w:pPr>
    </w:p>
    <w:p w14:paraId="486A62C7" w14:textId="7DB5CF3E" w:rsidR="00FD4852" w:rsidRPr="00312FD3" w:rsidRDefault="00554C0E" w:rsidP="00287537">
      <w:pPr>
        <w:overflowPunct/>
        <w:ind w:left="1287" w:right="567"/>
        <w:jc w:val="both"/>
        <w:textAlignment w:val="auto"/>
        <w:rPr>
          <w:rFonts w:ascii="Arial" w:eastAsia="Calibri" w:hAnsi="Arial" w:cs="Arial"/>
          <w:sz w:val="24"/>
          <w:szCs w:val="24"/>
          <w:lang w:eastAsia="en-US"/>
        </w:rPr>
      </w:pPr>
      <w:r w:rsidRPr="00312FD3">
        <w:rPr>
          <w:rFonts w:ascii="Arial" w:eastAsia="Calibri" w:hAnsi="Arial" w:cs="Arial"/>
          <w:sz w:val="24"/>
          <w:szCs w:val="24"/>
          <w:lang w:eastAsia="en-US"/>
        </w:rPr>
        <w:lastRenderedPageBreak/>
        <w:t>soweit sie vom 1. August 201</w:t>
      </w:r>
      <w:r w:rsidR="00AF37D3" w:rsidRPr="00312FD3">
        <w:rPr>
          <w:rFonts w:ascii="Arial" w:eastAsia="Calibri" w:hAnsi="Arial" w:cs="Arial"/>
          <w:sz w:val="24"/>
          <w:szCs w:val="24"/>
          <w:lang w:eastAsia="en-US"/>
        </w:rPr>
        <w:t>7</w:t>
      </w:r>
      <w:r w:rsidRPr="00312FD3">
        <w:rPr>
          <w:rFonts w:ascii="Arial" w:eastAsia="Calibri" w:hAnsi="Arial" w:cs="Arial"/>
          <w:sz w:val="24"/>
          <w:szCs w:val="24"/>
          <w:lang w:eastAsia="en-US"/>
        </w:rPr>
        <w:t xml:space="preserve"> bis zum 31. </w:t>
      </w:r>
      <w:r w:rsidR="00C97CDD" w:rsidRPr="00312FD3">
        <w:rPr>
          <w:rFonts w:ascii="Arial" w:eastAsia="Calibri" w:hAnsi="Arial" w:cs="Arial"/>
          <w:sz w:val="24"/>
          <w:szCs w:val="24"/>
          <w:lang w:eastAsia="en-US"/>
        </w:rPr>
        <w:t>März</w:t>
      </w:r>
      <w:r w:rsidRPr="00312FD3">
        <w:rPr>
          <w:rFonts w:ascii="Arial" w:eastAsia="Calibri" w:hAnsi="Arial" w:cs="Arial"/>
          <w:sz w:val="24"/>
          <w:szCs w:val="24"/>
          <w:lang w:eastAsia="en-US"/>
        </w:rPr>
        <w:t xml:space="preserve"> 201</w:t>
      </w:r>
      <w:r w:rsidR="00C97CDD" w:rsidRPr="00312FD3">
        <w:rPr>
          <w:rFonts w:ascii="Arial" w:eastAsia="Calibri" w:hAnsi="Arial" w:cs="Arial"/>
          <w:sz w:val="24"/>
          <w:szCs w:val="24"/>
          <w:lang w:eastAsia="en-US"/>
        </w:rPr>
        <w:t>9</w:t>
      </w:r>
      <w:r w:rsidRPr="00312FD3">
        <w:rPr>
          <w:rFonts w:ascii="Arial" w:eastAsia="Calibri" w:hAnsi="Arial" w:cs="Arial"/>
          <w:sz w:val="24"/>
          <w:szCs w:val="24"/>
          <w:lang w:eastAsia="en-US"/>
        </w:rPr>
        <w:t xml:space="preserve"> die Besoldungsgruppen </w:t>
      </w:r>
      <w:r w:rsidRPr="00312FD3">
        <w:rPr>
          <w:rFonts w:ascii="Arial" w:eastAsia="Calibri" w:hAnsi="Arial" w:cs="Arial"/>
          <w:color w:val="00B050"/>
          <w:sz w:val="24"/>
          <w:szCs w:val="24"/>
          <w:lang w:eastAsia="en-US"/>
        </w:rPr>
        <w:t xml:space="preserve">R 1 und R 2 </w:t>
      </w:r>
      <w:r w:rsidRPr="00312FD3">
        <w:rPr>
          <w:rFonts w:ascii="Arial" w:eastAsia="Calibri" w:hAnsi="Arial" w:cs="Arial"/>
          <w:sz w:val="24"/>
          <w:szCs w:val="24"/>
          <w:lang w:eastAsia="en-US"/>
        </w:rPr>
        <w:t xml:space="preserve">betreffen, </w:t>
      </w:r>
    </w:p>
    <w:p w14:paraId="4EBE41A6" w14:textId="3A91616C" w:rsidR="00C97CDD" w:rsidRPr="003F5FB0" w:rsidRDefault="00C97CDD" w:rsidP="00287537">
      <w:pPr>
        <w:pStyle w:val="Listenabsatz"/>
        <w:overflowPunct/>
        <w:ind w:left="1287" w:right="567"/>
        <w:jc w:val="both"/>
        <w:textAlignment w:val="auto"/>
        <w:rPr>
          <w:rFonts w:ascii="Arial" w:eastAsia="Calibri" w:hAnsi="Arial" w:cs="Arial"/>
          <w:sz w:val="24"/>
          <w:szCs w:val="24"/>
          <w:lang w:eastAsia="en-US"/>
        </w:rPr>
      </w:pPr>
    </w:p>
    <w:p w14:paraId="45D741A4" w14:textId="67C88971" w:rsidR="00DF3B26" w:rsidRDefault="006D05C1" w:rsidP="00287537">
      <w:pPr>
        <w:pStyle w:val="Listenabsatz"/>
        <w:numPr>
          <w:ilvl w:val="0"/>
          <w:numId w:val="2"/>
        </w:numPr>
        <w:overflowPunct/>
        <w:ind w:right="567"/>
        <w:jc w:val="both"/>
        <w:textAlignment w:val="auto"/>
        <w:rPr>
          <w:rFonts w:ascii="Arial" w:eastAsia="Calibri" w:hAnsi="Arial" w:cs="Arial"/>
          <w:sz w:val="24"/>
          <w:szCs w:val="24"/>
          <w:lang w:eastAsia="en-US"/>
        </w:rPr>
      </w:pPr>
      <w:r w:rsidRPr="003F5FB0">
        <w:rPr>
          <w:rFonts w:ascii="Arial" w:eastAsia="Calibri" w:hAnsi="Arial" w:cs="Arial"/>
          <w:sz w:val="24"/>
          <w:szCs w:val="24"/>
          <w:lang w:eastAsia="en-US"/>
        </w:rPr>
        <w:t xml:space="preserve">Anlage 1 Nummer 4 zu Artikel I § 2 Absatz 1 Satz 1 Nummern 1 und 2 des Gesetzes zur Anpassung der Besoldung und Versorgung für das Land Berlin 2019/2020 und zur Änderung weiterer besoldungsrechtlicher Vorschriften vom 5. September 2019 (Gesetz- und Verordnungsblatt für Berlin Seite 551 – Grundgehaltssätze der Landesbesoldungsordnung R ab 1. </w:t>
      </w:r>
      <w:r w:rsidR="003F5FB0" w:rsidRPr="003F5FB0">
        <w:rPr>
          <w:rFonts w:ascii="Arial" w:eastAsia="Calibri" w:hAnsi="Arial" w:cs="Arial"/>
          <w:sz w:val="24"/>
          <w:szCs w:val="24"/>
          <w:lang w:eastAsia="en-US"/>
        </w:rPr>
        <w:t>April</w:t>
      </w:r>
      <w:r w:rsidRPr="003F5FB0">
        <w:rPr>
          <w:rFonts w:ascii="Arial" w:eastAsia="Calibri" w:hAnsi="Arial" w:cs="Arial"/>
          <w:sz w:val="24"/>
          <w:szCs w:val="24"/>
          <w:lang w:eastAsia="en-US"/>
        </w:rPr>
        <w:t xml:space="preserve"> 201</w:t>
      </w:r>
      <w:r w:rsidR="003F5FB0" w:rsidRPr="003F5FB0">
        <w:rPr>
          <w:rFonts w:ascii="Arial" w:eastAsia="Calibri" w:hAnsi="Arial" w:cs="Arial"/>
          <w:sz w:val="24"/>
          <w:szCs w:val="24"/>
          <w:lang w:eastAsia="en-US"/>
        </w:rPr>
        <w:t>9</w:t>
      </w:r>
      <w:r w:rsidRPr="003F5FB0">
        <w:rPr>
          <w:rFonts w:ascii="Arial" w:eastAsia="Calibri" w:hAnsi="Arial" w:cs="Arial"/>
          <w:sz w:val="24"/>
          <w:szCs w:val="24"/>
          <w:lang w:eastAsia="en-US"/>
        </w:rPr>
        <w:t>)</w:t>
      </w:r>
      <w:r w:rsidR="00B464CF">
        <w:rPr>
          <w:rFonts w:ascii="Arial" w:eastAsia="Calibri" w:hAnsi="Arial" w:cs="Arial"/>
          <w:sz w:val="24"/>
          <w:szCs w:val="24"/>
          <w:lang w:eastAsia="en-US"/>
        </w:rPr>
        <w:t>,</w:t>
      </w:r>
    </w:p>
    <w:p w14:paraId="4561225D" w14:textId="77777777" w:rsidR="00DF3B26" w:rsidRDefault="00DF3B26" w:rsidP="00287537">
      <w:pPr>
        <w:pStyle w:val="Listenabsatz"/>
        <w:overflowPunct/>
        <w:ind w:left="1287" w:right="567"/>
        <w:jc w:val="both"/>
        <w:textAlignment w:val="auto"/>
        <w:rPr>
          <w:rFonts w:ascii="Arial" w:eastAsia="Calibri" w:hAnsi="Arial" w:cs="Arial"/>
          <w:sz w:val="24"/>
          <w:szCs w:val="24"/>
          <w:lang w:eastAsia="en-US"/>
        </w:rPr>
      </w:pPr>
    </w:p>
    <w:p w14:paraId="13F333BD" w14:textId="3A701CE2" w:rsidR="00DF3B26" w:rsidRPr="00DF3B26" w:rsidRDefault="00DF3B26" w:rsidP="00287537">
      <w:pPr>
        <w:pStyle w:val="Listenabsatz"/>
        <w:numPr>
          <w:ilvl w:val="0"/>
          <w:numId w:val="2"/>
        </w:numPr>
        <w:overflowPunct/>
        <w:ind w:right="567"/>
        <w:jc w:val="both"/>
        <w:textAlignment w:val="auto"/>
        <w:rPr>
          <w:rFonts w:ascii="Arial" w:eastAsia="Calibri" w:hAnsi="Arial" w:cs="Arial"/>
          <w:sz w:val="24"/>
          <w:szCs w:val="24"/>
          <w:lang w:eastAsia="en-US"/>
        </w:rPr>
      </w:pPr>
      <w:r w:rsidRPr="00DF3B26">
        <w:rPr>
          <w:rFonts w:ascii="Arial" w:eastAsia="Calibri" w:hAnsi="Arial" w:cs="Arial"/>
          <w:sz w:val="24"/>
          <w:szCs w:val="24"/>
          <w:lang w:eastAsia="en-US"/>
        </w:rPr>
        <w:t>Anlage 1</w:t>
      </w:r>
      <w:r>
        <w:rPr>
          <w:rFonts w:ascii="Arial" w:eastAsia="Calibri" w:hAnsi="Arial" w:cs="Arial"/>
          <w:sz w:val="24"/>
          <w:szCs w:val="24"/>
          <w:lang w:eastAsia="en-US"/>
        </w:rPr>
        <w:t>5</w:t>
      </w:r>
      <w:r w:rsidRPr="00DF3B26">
        <w:rPr>
          <w:rFonts w:ascii="Arial" w:eastAsia="Calibri" w:hAnsi="Arial" w:cs="Arial"/>
          <w:sz w:val="24"/>
          <w:szCs w:val="24"/>
          <w:lang w:eastAsia="en-US"/>
        </w:rPr>
        <w:t xml:space="preserve"> Nummer 4 zu Artikel I § 2 Absatz 1 Satz 1 Nummern 1 und 2 des Gesetzes zur Anpassung der Besoldung und Versorgung für das Land Berlin 2019/2020 und zur Änderung weiterer besoldungsrechtlicher Vorschriften vom 5. September 2019 (Gesetz- und Verordnungsblatt für Berlin Seite 551 – Grundgehaltssätze der Landesbesoldungsordnung R ab 1. April 2019),</w:t>
      </w:r>
    </w:p>
    <w:p w14:paraId="54743E01" w14:textId="77777777" w:rsidR="00DF3B26" w:rsidRPr="003F5FB0" w:rsidRDefault="00DF3B26" w:rsidP="00287537">
      <w:pPr>
        <w:pStyle w:val="Listenabsatz"/>
        <w:overflowPunct/>
        <w:ind w:left="1287" w:right="567"/>
        <w:jc w:val="both"/>
        <w:textAlignment w:val="auto"/>
        <w:rPr>
          <w:rFonts w:ascii="Arial" w:eastAsia="Calibri" w:hAnsi="Arial" w:cs="Arial"/>
          <w:sz w:val="24"/>
          <w:szCs w:val="24"/>
          <w:lang w:eastAsia="en-US"/>
        </w:rPr>
      </w:pPr>
    </w:p>
    <w:p w14:paraId="1F5E929C" w14:textId="564CD965" w:rsidR="006D05C1" w:rsidRPr="003F5FB0" w:rsidRDefault="006D05C1" w:rsidP="00287537">
      <w:pPr>
        <w:pStyle w:val="Listenabsatz"/>
        <w:overflowPunct/>
        <w:ind w:left="1287" w:right="567"/>
        <w:jc w:val="both"/>
        <w:textAlignment w:val="auto"/>
        <w:rPr>
          <w:rFonts w:ascii="Arial" w:eastAsia="Calibri" w:hAnsi="Arial" w:cs="Arial"/>
          <w:sz w:val="24"/>
          <w:szCs w:val="24"/>
          <w:lang w:eastAsia="en-US"/>
        </w:rPr>
      </w:pPr>
      <w:r w:rsidRPr="003F5FB0">
        <w:rPr>
          <w:rFonts w:ascii="Arial" w:eastAsia="Calibri" w:hAnsi="Arial" w:cs="Arial"/>
          <w:sz w:val="24"/>
          <w:szCs w:val="24"/>
          <w:lang w:eastAsia="en-US"/>
        </w:rPr>
        <w:t xml:space="preserve">soweit sie vom 1. April 2019 bis </w:t>
      </w:r>
      <w:r w:rsidRPr="003548FD">
        <w:rPr>
          <w:rFonts w:ascii="Arial" w:eastAsia="Calibri" w:hAnsi="Arial" w:cs="Arial"/>
          <w:sz w:val="24"/>
          <w:szCs w:val="24"/>
          <w:lang w:eastAsia="en-US"/>
        </w:rPr>
        <w:t xml:space="preserve">zum 31. </w:t>
      </w:r>
      <w:r w:rsidR="003548FD" w:rsidRPr="003548FD">
        <w:rPr>
          <w:rFonts w:ascii="Arial" w:eastAsia="Calibri" w:hAnsi="Arial" w:cs="Arial"/>
          <w:sz w:val="24"/>
          <w:szCs w:val="24"/>
          <w:lang w:eastAsia="en-US"/>
        </w:rPr>
        <w:t>Dezember 20</w:t>
      </w:r>
      <w:r w:rsidR="00DF3B26">
        <w:rPr>
          <w:rFonts w:ascii="Arial" w:eastAsia="Calibri" w:hAnsi="Arial" w:cs="Arial"/>
          <w:sz w:val="24"/>
          <w:szCs w:val="24"/>
          <w:lang w:eastAsia="en-US"/>
        </w:rPr>
        <w:t>20</w:t>
      </w:r>
      <w:r w:rsidRPr="003548FD">
        <w:rPr>
          <w:rFonts w:ascii="Arial" w:eastAsia="Calibri" w:hAnsi="Arial" w:cs="Arial"/>
          <w:sz w:val="24"/>
          <w:szCs w:val="24"/>
          <w:lang w:eastAsia="en-US"/>
        </w:rPr>
        <w:t xml:space="preserve"> die Besoldungs</w:t>
      </w:r>
      <w:r w:rsidRPr="003F5FB0">
        <w:rPr>
          <w:rFonts w:ascii="Arial" w:eastAsia="Calibri" w:hAnsi="Arial" w:cs="Arial"/>
          <w:sz w:val="24"/>
          <w:szCs w:val="24"/>
          <w:lang w:eastAsia="en-US"/>
        </w:rPr>
        <w:t xml:space="preserve">-gruppen </w:t>
      </w:r>
      <w:r w:rsidRPr="003F5FB0">
        <w:rPr>
          <w:rFonts w:ascii="Arial" w:eastAsia="Calibri" w:hAnsi="Arial" w:cs="Arial"/>
          <w:color w:val="00B050"/>
          <w:sz w:val="24"/>
          <w:szCs w:val="24"/>
          <w:lang w:eastAsia="en-US"/>
        </w:rPr>
        <w:t xml:space="preserve">R 1 und R 2 </w:t>
      </w:r>
      <w:r w:rsidRPr="003F5FB0">
        <w:rPr>
          <w:rFonts w:ascii="Arial" w:eastAsia="Calibri" w:hAnsi="Arial" w:cs="Arial"/>
          <w:sz w:val="24"/>
          <w:szCs w:val="24"/>
          <w:lang w:eastAsia="en-US"/>
        </w:rPr>
        <w:t>betr</w:t>
      </w:r>
      <w:r w:rsidR="00742387">
        <w:rPr>
          <w:rFonts w:ascii="Arial" w:eastAsia="Calibri" w:hAnsi="Arial" w:cs="Arial"/>
          <w:sz w:val="24"/>
          <w:szCs w:val="24"/>
          <w:lang w:eastAsia="en-US"/>
        </w:rPr>
        <w:t>effen</w:t>
      </w:r>
      <w:r w:rsidRPr="003F5FB0">
        <w:rPr>
          <w:rFonts w:ascii="Arial" w:eastAsia="Calibri" w:hAnsi="Arial" w:cs="Arial"/>
          <w:sz w:val="24"/>
          <w:szCs w:val="24"/>
          <w:lang w:eastAsia="en-US"/>
        </w:rPr>
        <w:t>,</w:t>
      </w:r>
    </w:p>
    <w:p w14:paraId="32012308" w14:textId="77777777" w:rsidR="003D2DD9" w:rsidRPr="004F34B9" w:rsidRDefault="003D2DD9" w:rsidP="00287537">
      <w:pPr>
        <w:overflowPunct/>
        <w:ind w:left="567" w:right="567"/>
        <w:jc w:val="both"/>
        <w:textAlignment w:val="auto"/>
        <w:rPr>
          <w:rFonts w:ascii="Arial" w:eastAsia="Calibri" w:hAnsi="Arial" w:cs="Arial"/>
          <w:sz w:val="24"/>
          <w:szCs w:val="24"/>
          <w:lang w:eastAsia="en-US"/>
        </w:rPr>
      </w:pPr>
    </w:p>
    <w:p w14:paraId="2EA9941A" w14:textId="5856A9D6" w:rsidR="00F15371" w:rsidRDefault="004F34B9" w:rsidP="00287537">
      <w:pPr>
        <w:overflowPunct/>
        <w:ind w:left="567" w:right="567"/>
        <w:jc w:val="both"/>
        <w:textAlignment w:val="auto"/>
        <w:rPr>
          <w:rFonts w:ascii="Arial" w:eastAsia="Calibri" w:hAnsi="Arial" w:cs="Arial"/>
          <w:sz w:val="24"/>
          <w:szCs w:val="24"/>
          <w:lang w:eastAsia="en-US"/>
        </w:rPr>
      </w:pPr>
      <w:r w:rsidRPr="004F34B9">
        <w:rPr>
          <w:rFonts w:ascii="Arial" w:eastAsia="Calibri" w:hAnsi="Arial" w:cs="Arial"/>
          <w:sz w:val="24"/>
          <w:szCs w:val="24"/>
          <w:lang w:eastAsia="en-US"/>
        </w:rPr>
        <w:t>mit Artikel 33 Absatz 5 des Grundgesetzes vereinbar sind.</w:t>
      </w:r>
    </w:p>
    <w:p w14:paraId="47A29A58" w14:textId="77777777" w:rsidR="00B97228" w:rsidRDefault="00B97228" w:rsidP="00B97228">
      <w:pPr>
        <w:overflowPunct/>
        <w:autoSpaceDE/>
        <w:autoSpaceDN/>
        <w:adjustRightInd/>
        <w:jc w:val="center"/>
        <w:textAlignment w:val="auto"/>
        <w:rPr>
          <w:rFonts w:ascii="Arial" w:eastAsia="Calibri" w:hAnsi="Arial" w:cs="Arial"/>
          <w:sz w:val="24"/>
          <w:szCs w:val="24"/>
          <w:u w:val="single"/>
          <w:lang w:eastAsia="en-US"/>
        </w:rPr>
      </w:pPr>
    </w:p>
    <w:p w14:paraId="308C554C" w14:textId="77777777" w:rsidR="00B97228" w:rsidRDefault="00B97228" w:rsidP="00B97228">
      <w:pPr>
        <w:overflowPunct/>
        <w:autoSpaceDE/>
        <w:autoSpaceDN/>
        <w:adjustRightInd/>
        <w:jc w:val="center"/>
        <w:textAlignment w:val="auto"/>
        <w:rPr>
          <w:rFonts w:ascii="Arial" w:eastAsia="Calibri" w:hAnsi="Arial" w:cs="Arial"/>
          <w:sz w:val="24"/>
          <w:szCs w:val="24"/>
          <w:u w:val="single"/>
          <w:lang w:eastAsia="en-US"/>
        </w:rPr>
      </w:pPr>
    </w:p>
    <w:p w14:paraId="2D0CF46E" w14:textId="77777777" w:rsidR="00B97228" w:rsidRDefault="00B97228" w:rsidP="00B97228">
      <w:pPr>
        <w:overflowPunct/>
        <w:autoSpaceDE/>
        <w:autoSpaceDN/>
        <w:adjustRightInd/>
        <w:jc w:val="center"/>
        <w:textAlignment w:val="auto"/>
        <w:rPr>
          <w:rFonts w:ascii="Arial" w:eastAsia="Calibri" w:hAnsi="Arial" w:cs="Arial"/>
          <w:sz w:val="24"/>
          <w:szCs w:val="24"/>
          <w:u w:val="single"/>
          <w:lang w:eastAsia="en-US"/>
        </w:rPr>
      </w:pPr>
    </w:p>
    <w:p w14:paraId="4731C824" w14:textId="77777777" w:rsidR="00B97228" w:rsidRDefault="00B97228" w:rsidP="00B97228">
      <w:pPr>
        <w:overflowPunct/>
        <w:autoSpaceDE/>
        <w:autoSpaceDN/>
        <w:adjustRightInd/>
        <w:jc w:val="center"/>
        <w:textAlignment w:val="auto"/>
        <w:rPr>
          <w:rFonts w:ascii="Arial" w:eastAsia="Calibri" w:hAnsi="Arial" w:cs="Arial"/>
          <w:sz w:val="24"/>
          <w:szCs w:val="24"/>
          <w:u w:val="single"/>
          <w:lang w:eastAsia="en-US"/>
        </w:rPr>
      </w:pPr>
    </w:p>
    <w:p w14:paraId="34C4F27D" w14:textId="3FA1D996" w:rsidR="00EB750D" w:rsidRDefault="00EB750D">
      <w:pPr>
        <w:overflowPunct/>
        <w:autoSpaceDE/>
        <w:autoSpaceDN/>
        <w:adjustRightInd/>
        <w:textAlignment w:val="auto"/>
        <w:rPr>
          <w:rFonts w:ascii="Arial" w:eastAsia="Calibri" w:hAnsi="Arial" w:cs="Arial"/>
          <w:sz w:val="24"/>
          <w:szCs w:val="24"/>
          <w:u w:val="single"/>
          <w:lang w:eastAsia="en-US"/>
        </w:rPr>
      </w:pPr>
    </w:p>
    <w:p w14:paraId="4CEFDB3C" w14:textId="75BB7D5B" w:rsidR="00FD4852" w:rsidRDefault="00F15371" w:rsidP="00503386">
      <w:pPr>
        <w:overflowPunct/>
        <w:autoSpaceDE/>
        <w:autoSpaceDN/>
        <w:adjustRightInd/>
        <w:spacing w:line="276" w:lineRule="auto"/>
        <w:jc w:val="center"/>
        <w:textAlignment w:val="auto"/>
        <w:rPr>
          <w:rFonts w:ascii="Arial" w:eastAsia="Calibri" w:hAnsi="Arial" w:cs="Arial"/>
          <w:sz w:val="24"/>
          <w:szCs w:val="24"/>
          <w:lang w:eastAsia="en-US"/>
        </w:rPr>
      </w:pPr>
      <w:r w:rsidRPr="00F15371">
        <w:rPr>
          <w:rFonts w:ascii="Arial" w:eastAsia="Calibri" w:hAnsi="Arial" w:cs="Arial"/>
          <w:sz w:val="24"/>
          <w:szCs w:val="24"/>
          <w:u w:val="single"/>
          <w:lang w:eastAsia="en-US"/>
        </w:rPr>
        <w:t>G r ü n d e</w:t>
      </w:r>
    </w:p>
    <w:p w14:paraId="11599464" w14:textId="77777777" w:rsidR="00FD4852" w:rsidRDefault="00FD4852" w:rsidP="00503386">
      <w:pPr>
        <w:overflowPunct/>
        <w:spacing w:line="276" w:lineRule="auto"/>
        <w:jc w:val="center"/>
        <w:textAlignment w:val="auto"/>
        <w:rPr>
          <w:rFonts w:ascii="Arial" w:eastAsia="Calibri" w:hAnsi="Arial" w:cs="Arial"/>
          <w:sz w:val="24"/>
          <w:szCs w:val="24"/>
          <w:lang w:eastAsia="en-US"/>
        </w:rPr>
      </w:pPr>
    </w:p>
    <w:p w14:paraId="300287C1" w14:textId="77777777" w:rsidR="00EE2E93" w:rsidRDefault="00EE2E93" w:rsidP="008D61EF">
      <w:pPr>
        <w:overflowPunct/>
        <w:spacing w:line="276" w:lineRule="auto"/>
        <w:jc w:val="both"/>
        <w:textAlignment w:val="auto"/>
        <w:rPr>
          <w:rFonts w:ascii="Arial" w:eastAsia="Calibri" w:hAnsi="Arial" w:cs="Arial"/>
          <w:sz w:val="24"/>
          <w:szCs w:val="24"/>
          <w:lang w:eastAsia="en-US"/>
        </w:rPr>
      </w:pPr>
    </w:p>
    <w:p w14:paraId="52CD4FAD" w14:textId="678A631C" w:rsidR="00EE2E93" w:rsidRDefault="00EE2E93"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t>A.</w:t>
      </w:r>
    </w:p>
    <w:p w14:paraId="43092687" w14:textId="40113C49" w:rsidR="00EE2E93" w:rsidRDefault="00EE2E93" w:rsidP="00EE2E93">
      <w:pPr>
        <w:overflowPunct/>
        <w:spacing w:line="276" w:lineRule="auto"/>
        <w:jc w:val="both"/>
        <w:textAlignment w:val="auto"/>
        <w:rPr>
          <w:rFonts w:ascii="Arial" w:eastAsia="Calibri" w:hAnsi="Arial" w:cs="Arial"/>
          <w:sz w:val="24"/>
          <w:szCs w:val="24"/>
          <w:lang w:eastAsia="en-US"/>
        </w:rPr>
      </w:pPr>
    </w:p>
    <w:p w14:paraId="70428918" w14:textId="5F6E30D7" w:rsidR="00EE2E93" w:rsidRDefault="00EE2E93" w:rsidP="00EA6F2E">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Das Verfahren </w:t>
      </w:r>
      <w:r w:rsidR="000201F0">
        <w:rPr>
          <w:rFonts w:ascii="Arial" w:eastAsia="Calibri" w:hAnsi="Arial" w:cs="Arial"/>
          <w:sz w:val="24"/>
          <w:szCs w:val="24"/>
          <w:lang w:eastAsia="en-US"/>
        </w:rPr>
        <w:t>w</w:t>
      </w:r>
      <w:r w:rsidR="00FC7014">
        <w:rPr>
          <w:rFonts w:ascii="Arial" w:eastAsia="Calibri" w:hAnsi="Arial" w:cs="Arial"/>
          <w:sz w:val="24"/>
          <w:szCs w:val="24"/>
          <w:lang w:eastAsia="en-US"/>
        </w:rPr>
        <w:t xml:space="preserve">ird gemäß § 94 der Verwaltungsgerichtsordnung analog ausgesetzt, </w:t>
      </w:r>
      <w:r w:rsidR="00D640CC">
        <w:rPr>
          <w:rFonts w:ascii="Arial" w:eastAsia="Calibri" w:hAnsi="Arial" w:cs="Arial"/>
          <w:sz w:val="24"/>
          <w:szCs w:val="24"/>
          <w:lang w:eastAsia="en-US"/>
        </w:rPr>
        <w:t xml:space="preserve">weil die Entscheidung des Rechtsstreits von der Verfassungsmäßigkeit </w:t>
      </w:r>
      <w:r w:rsidR="00626C67">
        <w:rPr>
          <w:rFonts w:ascii="Arial" w:eastAsia="Calibri" w:hAnsi="Arial" w:cs="Arial"/>
          <w:sz w:val="24"/>
          <w:szCs w:val="24"/>
          <w:lang w:eastAsia="en-US"/>
        </w:rPr>
        <w:t xml:space="preserve">der im Tenor bezeichneten landesrechtlichen Gesetzesvorschriften </w:t>
      </w:r>
      <w:r w:rsidR="003A6CEC">
        <w:rPr>
          <w:rFonts w:ascii="Arial" w:eastAsia="Calibri" w:hAnsi="Arial" w:cs="Arial"/>
          <w:sz w:val="24"/>
          <w:szCs w:val="24"/>
          <w:lang w:eastAsia="en-US"/>
        </w:rPr>
        <w:t xml:space="preserve">abhängt und deshalb </w:t>
      </w:r>
      <w:r w:rsidR="00232278">
        <w:rPr>
          <w:rFonts w:ascii="Arial" w:eastAsia="Calibri" w:hAnsi="Arial" w:cs="Arial"/>
          <w:sz w:val="24"/>
          <w:szCs w:val="24"/>
          <w:lang w:eastAsia="en-US"/>
        </w:rPr>
        <w:t xml:space="preserve">die aus dem Tenor ersichtliche </w:t>
      </w:r>
      <w:r w:rsidR="003A6CEC">
        <w:rPr>
          <w:rFonts w:ascii="Arial" w:eastAsia="Calibri" w:hAnsi="Arial" w:cs="Arial"/>
          <w:sz w:val="24"/>
          <w:szCs w:val="24"/>
          <w:lang w:eastAsia="en-US"/>
        </w:rPr>
        <w:t xml:space="preserve">Vorlage </w:t>
      </w:r>
      <w:r w:rsidR="00B71F1A">
        <w:rPr>
          <w:rFonts w:ascii="Arial" w:eastAsia="Calibri" w:hAnsi="Arial" w:cs="Arial"/>
          <w:sz w:val="24"/>
          <w:szCs w:val="24"/>
          <w:lang w:eastAsia="en-US"/>
        </w:rPr>
        <w:t xml:space="preserve">an </w:t>
      </w:r>
      <w:r w:rsidR="003A6CEC">
        <w:rPr>
          <w:rFonts w:ascii="Arial" w:eastAsia="Calibri" w:hAnsi="Arial" w:cs="Arial"/>
          <w:sz w:val="24"/>
          <w:szCs w:val="24"/>
          <w:lang w:eastAsia="en-US"/>
        </w:rPr>
        <w:t xml:space="preserve">das Bundesverfassungsgericht </w:t>
      </w:r>
      <w:r w:rsidR="00B71F1A">
        <w:rPr>
          <w:rFonts w:ascii="Arial" w:eastAsia="Calibri" w:hAnsi="Arial" w:cs="Arial"/>
          <w:sz w:val="24"/>
          <w:szCs w:val="24"/>
          <w:lang w:eastAsia="en-US"/>
        </w:rPr>
        <w:t>erfolgt.</w:t>
      </w:r>
    </w:p>
    <w:p w14:paraId="314A4973" w14:textId="4A55894E" w:rsidR="00B71F1A" w:rsidRDefault="00B71F1A" w:rsidP="00724D2E">
      <w:pPr>
        <w:overflowPunct/>
        <w:spacing w:line="276" w:lineRule="auto"/>
        <w:jc w:val="both"/>
        <w:textAlignment w:val="auto"/>
        <w:rPr>
          <w:rFonts w:ascii="Arial" w:eastAsia="Calibri" w:hAnsi="Arial" w:cs="Arial"/>
          <w:sz w:val="24"/>
          <w:szCs w:val="24"/>
          <w:lang w:eastAsia="en-US"/>
        </w:rPr>
      </w:pPr>
    </w:p>
    <w:p w14:paraId="4E815997" w14:textId="77777777" w:rsidR="00EB750D" w:rsidRDefault="00EB750D" w:rsidP="00724D2E">
      <w:pPr>
        <w:overflowPunct/>
        <w:spacing w:line="276" w:lineRule="auto"/>
        <w:jc w:val="both"/>
        <w:textAlignment w:val="auto"/>
        <w:rPr>
          <w:rFonts w:ascii="Arial" w:eastAsia="Calibri" w:hAnsi="Arial" w:cs="Arial"/>
          <w:sz w:val="24"/>
          <w:szCs w:val="24"/>
          <w:lang w:eastAsia="en-US"/>
        </w:rPr>
      </w:pPr>
    </w:p>
    <w:p w14:paraId="0C71488E" w14:textId="77777777" w:rsidR="00EE2E93" w:rsidRDefault="00EE2E93" w:rsidP="00503386">
      <w:pPr>
        <w:overflowPunct/>
        <w:spacing w:line="276" w:lineRule="auto"/>
        <w:jc w:val="center"/>
        <w:textAlignment w:val="auto"/>
        <w:rPr>
          <w:rFonts w:ascii="Arial" w:eastAsia="Calibri" w:hAnsi="Arial" w:cs="Arial"/>
          <w:sz w:val="24"/>
          <w:szCs w:val="24"/>
          <w:lang w:eastAsia="en-US"/>
        </w:rPr>
      </w:pPr>
    </w:p>
    <w:p w14:paraId="0AD090BB" w14:textId="6D828B45" w:rsidR="00F15371" w:rsidRDefault="00B71F1A"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t>B</w:t>
      </w:r>
      <w:r w:rsidR="00751554">
        <w:rPr>
          <w:rFonts w:ascii="Arial" w:eastAsia="Calibri" w:hAnsi="Arial" w:cs="Arial"/>
          <w:sz w:val="24"/>
          <w:szCs w:val="24"/>
          <w:lang w:eastAsia="en-US"/>
        </w:rPr>
        <w:t>.</w:t>
      </w:r>
    </w:p>
    <w:p w14:paraId="6E7A6CD5" w14:textId="77777777" w:rsidR="001B2572" w:rsidRPr="00F15371" w:rsidRDefault="001B2572" w:rsidP="00503386">
      <w:pPr>
        <w:overflowPunct/>
        <w:spacing w:line="276" w:lineRule="auto"/>
        <w:jc w:val="center"/>
        <w:textAlignment w:val="auto"/>
        <w:rPr>
          <w:rFonts w:ascii="Arial" w:eastAsia="Calibri" w:hAnsi="Arial" w:cs="Arial"/>
          <w:sz w:val="24"/>
          <w:szCs w:val="24"/>
          <w:lang w:eastAsia="en-US"/>
        </w:rPr>
      </w:pPr>
    </w:p>
    <w:p w14:paraId="7E4D0F1A" w14:textId="21F1EE64" w:rsidR="00F15371" w:rsidRDefault="00F15371" w:rsidP="00503386">
      <w:pPr>
        <w:overflowPunct/>
        <w:spacing w:line="276" w:lineRule="auto"/>
        <w:jc w:val="both"/>
        <w:textAlignment w:val="auto"/>
        <w:rPr>
          <w:rFonts w:ascii="Arial" w:eastAsia="Calibri" w:hAnsi="Arial" w:cs="Arial"/>
          <w:sz w:val="24"/>
          <w:szCs w:val="24"/>
          <w:lang w:eastAsia="en-US"/>
        </w:rPr>
      </w:pPr>
      <w:r w:rsidRPr="00F15371">
        <w:rPr>
          <w:rFonts w:ascii="Arial" w:eastAsia="Calibri" w:hAnsi="Arial" w:cs="Arial"/>
          <w:sz w:val="24"/>
          <w:szCs w:val="24"/>
          <w:lang w:eastAsia="en-US"/>
        </w:rPr>
        <w:t xml:space="preserve">Die </w:t>
      </w:r>
      <w:r w:rsidR="004917EF">
        <w:rPr>
          <w:rFonts w:ascii="Arial" w:eastAsia="Calibri" w:hAnsi="Arial" w:cs="Arial"/>
          <w:sz w:val="24"/>
          <w:szCs w:val="24"/>
          <w:lang w:eastAsia="en-US"/>
        </w:rPr>
        <w:t xml:space="preserve">Vorlage betrifft die Frage, ob die Besoldung der Richterinnen und Richter sowie der Staatsanwältinnen und Staatsanwälte des Landes Berlin </w:t>
      </w:r>
      <w:r w:rsidR="004917EF" w:rsidRPr="009D6120">
        <w:rPr>
          <w:rFonts w:ascii="Arial" w:eastAsia="Calibri" w:hAnsi="Arial" w:cs="Arial"/>
          <w:color w:val="00B050"/>
          <w:sz w:val="24"/>
          <w:szCs w:val="24"/>
          <w:lang w:eastAsia="en-US"/>
        </w:rPr>
        <w:t>in de</w:t>
      </w:r>
      <w:r w:rsidR="00923E56">
        <w:rPr>
          <w:rFonts w:ascii="Arial" w:eastAsia="Calibri" w:hAnsi="Arial" w:cs="Arial"/>
          <w:color w:val="00B050"/>
          <w:sz w:val="24"/>
          <w:szCs w:val="24"/>
          <w:lang w:eastAsia="en-US"/>
        </w:rPr>
        <w:t>n</w:t>
      </w:r>
      <w:r w:rsidR="004917EF" w:rsidRPr="009D6120">
        <w:rPr>
          <w:rFonts w:ascii="Arial" w:eastAsia="Calibri" w:hAnsi="Arial" w:cs="Arial"/>
          <w:color w:val="00B050"/>
          <w:sz w:val="24"/>
          <w:szCs w:val="24"/>
          <w:lang w:eastAsia="en-US"/>
        </w:rPr>
        <w:t xml:space="preserve"> Besoldungsgruppe</w:t>
      </w:r>
      <w:r w:rsidR="00506E8B">
        <w:rPr>
          <w:rFonts w:ascii="Arial" w:eastAsia="Calibri" w:hAnsi="Arial" w:cs="Arial"/>
          <w:color w:val="00B050"/>
          <w:sz w:val="24"/>
          <w:szCs w:val="24"/>
          <w:lang w:eastAsia="en-US"/>
        </w:rPr>
        <w:t>n R 1 und</w:t>
      </w:r>
      <w:r w:rsidR="004917EF" w:rsidRPr="009D6120">
        <w:rPr>
          <w:rFonts w:ascii="Arial" w:eastAsia="Calibri" w:hAnsi="Arial" w:cs="Arial"/>
          <w:color w:val="00B050"/>
          <w:sz w:val="24"/>
          <w:szCs w:val="24"/>
          <w:lang w:eastAsia="en-US"/>
        </w:rPr>
        <w:t xml:space="preserve"> R 2 </w:t>
      </w:r>
      <w:r w:rsidR="00BC3829" w:rsidRPr="008D61EF">
        <w:rPr>
          <w:rFonts w:ascii="Arial" w:eastAsia="Calibri" w:hAnsi="Arial" w:cs="Arial"/>
          <w:sz w:val="24"/>
          <w:szCs w:val="24"/>
          <w:lang w:eastAsia="en-US"/>
        </w:rPr>
        <w:t xml:space="preserve">auch </w:t>
      </w:r>
      <w:r w:rsidR="009D6120">
        <w:rPr>
          <w:rFonts w:ascii="Arial" w:eastAsia="Calibri" w:hAnsi="Arial" w:cs="Arial"/>
          <w:sz w:val="24"/>
          <w:szCs w:val="24"/>
          <w:lang w:eastAsia="en-US"/>
        </w:rPr>
        <w:t xml:space="preserve">in </w:t>
      </w:r>
      <w:r w:rsidR="004917EF" w:rsidRPr="009D6120">
        <w:rPr>
          <w:rFonts w:ascii="Arial" w:eastAsia="Calibri" w:hAnsi="Arial" w:cs="Arial"/>
          <w:sz w:val="24"/>
          <w:szCs w:val="24"/>
          <w:lang w:eastAsia="en-US"/>
        </w:rPr>
        <w:t xml:space="preserve">den Jahren </w:t>
      </w:r>
      <w:r w:rsidR="004917EF">
        <w:rPr>
          <w:rFonts w:ascii="Arial" w:eastAsia="Calibri" w:hAnsi="Arial" w:cs="Arial"/>
          <w:sz w:val="24"/>
          <w:szCs w:val="24"/>
          <w:lang w:eastAsia="en-US"/>
        </w:rPr>
        <w:t>2016 bis 20</w:t>
      </w:r>
      <w:r w:rsidR="00DF3B26">
        <w:rPr>
          <w:rFonts w:ascii="Arial" w:eastAsia="Calibri" w:hAnsi="Arial" w:cs="Arial"/>
          <w:sz w:val="24"/>
          <w:szCs w:val="24"/>
          <w:lang w:eastAsia="en-US"/>
        </w:rPr>
        <w:t>20</w:t>
      </w:r>
      <w:r w:rsidR="004917EF">
        <w:rPr>
          <w:rFonts w:ascii="Arial" w:eastAsia="Calibri" w:hAnsi="Arial" w:cs="Arial"/>
          <w:sz w:val="24"/>
          <w:szCs w:val="24"/>
          <w:lang w:eastAsia="en-US"/>
        </w:rPr>
        <w:t xml:space="preserve"> </w:t>
      </w:r>
      <w:r w:rsidR="00147ACA">
        <w:rPr>
          <w:rFonts w:ascii="Arial" w:eastAsia="Calibri" w:hAnsi="Arial" w:cs="Arial"/>
          <w:sz w:val="24"/>
          <w:szCs w:val="24"/>
          <w:lang w:eastAsia="en-US"/>
        </w:rPr>
        <w:t>in verfassungswidriger Weise zu niedrig bemessen</w:t>
      </w:r>
      <w:r w:rsidR="004917EF">
        <w:rPr>
          <w:rFonts w:ascii="Arial" w:eastAsia="Calibri" w:hAnsi="Arial" w:cs="Arial"/>
          <w:sz w:val="24"/>
          <w:szCs w:val="24"/>
          <w:lang w:eastAsia="en-US"/>
        </w:rPr>
        <w:t xml:space="preserve"> war.</w:t>
      </w:r>
    </w:p>
    <w:p w14:paraId="5C968522" w14:textId="3F2512EE" w:rsidR="00751554" w:rsidRDefault="00751554" w:rsidP="00503386">
      <w:pPr>
        <w:overflowPunct/>
        <w:spacing w:line="276" w:lineRule="auto"/>
        <w:jc w:val="both"/>
        <w:textAlignment w:val="auto"/>
        <w:rPr>
          <w:rFonts w:ascii="Arial" w:eastAsia="Calibri" w:hAnsi="Arial" w:cs="Arial"/>
          <w:sz w:val="24"/>
          <w:szCs w:val="24"/>
          <w:lang w:eastAsia="en-US"/>
        </w:rPr>
      </w:pPr>
    </w:p>
    <w:p w14:paraId="0C53FA39" w14:textId="0CB3144F" w:rsidR="00AD40EC" w:rsidRDefault="00AD40EC" w:rsidP="00503386">
      <w:pPr>
        <w:overflowPunct/>
        <w:spacing w:line="276" w:lineRule="auto"/>
        <w:jc w:val="both"/>
        <w:textAlignment w:val="auto"/>
        <w:rPr>
          <w:rFonts w:ascii="Arial" w:eastAsia="Calibri" w:hAnsi="Arial" w:cs="Arial"/>
          <w:sz w:val="24"/>
          <w:szCs w:val="24"/>
          <w:lang w:eastAsia="en-US"/>
        </w:rPr>
      </w:pPr>
    </w:p>
    <w:p w14:paraId="4D1EC5A2" w14:textId="77777777" w:rsidR="00AD40EC" w:rsidRDefault="00AD40EC" w:rsidP="00503386">
      <w:pPr>
        <w:overflowPunct/>
        <w:spacing w:line="276" w:lineRule="auto"/>
        <w:jc w:val="both"/>
        <w:textAlignment w:val="auto"/>
        <w:rPr>
          <w:rFonts w:ascii="Arial" w:eastAsia="Calibri" w:hAnsi="Arial" w:cs="Arial"/>
          <w:sz w:val="24"/>
          <w:szCs w:val="24"/>
          <w:lang w:eastAsia="en-US"/>
        </w:rPr>
      </w:pPr>
    </w:p>
    <w:p w14:paraId="41A392BC" w14:textId="16291E4F" w:rsidR="001B2572" w:rsidRDefault="008D707F"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I</w:t>
      </w:r>
      <w:r w:rsidR="00FE6889">
        <w:rPr>
          <w:rFonts w:ascii="Arial" w:eastAsia="Calibri" w:hAnsi="Arial" w:cs="Arial"/>
          <w:sz w:val="24"/>
          <w:szCs w:val="24"/>
          <w:lang w:eastAsia="en-US"/>
        </w:rPr>
        <w:t>.</w:t>
      </w:r>
      <w:r>
        <w:rPr>
          <w:rFonts w:ascii="Arial" w:eastAsia="Calibri" w:hAnsi="Arial" w:cs="Arial"/>
          <w:sz w:val="24"/>
          <w:szCs w:val="24"/>
          <w:lang w:eastAsia="en-US"/>
        </w:rPr>
        <w:t xml:space="preserve"> </w:t>
      </w:r>
    </w:p>
    <w:p w14:paraId="427C7EF0" w14:textId="7219A758" w:rsidR="001B2572" w:rsidRDefault="001B2572" w:rsidP="00503386">
      <w:pPr>
        <w:overflowPunct/>
        <w:spacing w:line="276" w:lineRule="auto"/>
        <w:jc w:val="center"/>
        <w:textAlignment w:val="auto"/>
        <w:rPr>
          <w:rFonts w:ascii="Arial" w:eastAsia="Calibri" w:hAnsi="Arial" w:cs="Arial"/>
          <w:sz w:val="24"/>
          <w:szCs w:val="24"/>
          <w:lang w:eastAsia="en-US"/>
        </w:rPr>
      </w:pPr>
    </w:p>
    <w:p w14:paraId="5D35C55E" w14:textId="34293FE5" w:rsidR="001B2572" w:rsidRDefault="008225EC" w:rsidP="00811971">
      <w:pPr>
        <w:overflowPunct/>
        <w:spacing w:line="276" w:lineRule="auto"/>
        <w:textAlignment w:val="auto"/>
        <w:rPr>
          <w:rFonts w:ascii="Arial" w:hAnsi="Arial" w:cs="Arial"/>
          <w:sz w:val="24"/>
          <w:szCs w:val="24"/>
        </w:rPr>
      </w:pPr>
      <w:r>
        <w:rPr>
          <w:rFonts w:ascii="Arial" w:eastAsia="Calibri" w:hAnsi="Arial" w:cs="Arial"/>
          <w:sz w:val="24"/>
          <w:szCs w:val="24"/>
          <w:lang w:eastAsia="en-US"/>
        </w:rPr>
        <w:t xml:space="preserve">Die </w:t>
      </w:r>
      <w:r>
        <w:rPr>
          <w:rFonts w:ascii="Arial" w:hAnsi="Arial" w:cs="Arial"/>
          <w:sz w:val="24"/>
          <w:szCs w:val="24"/>
        </w:rPr>
        <w:t>maßgeblichen Rechtsvorschriften stellen sich wie folgt dar:</w:t>
      </w:r>
    </w:p>
    <w:p w14:paraId="2D8510F4" w14:textId="77777777" w:rsidR="008225EC" w:rsidRDefault="008225EC" w:rsidP="00503386">
      <w:pPr>
        <w:overflowPunct/>
        <w:spacing w:line="276" w:lineRule="auto"/>
        <w:jc w:val="center"/>
        <w:textAlignment w:val="auto"/>
        <w:rPr>
          <w:rFonts w:ascii="Arial" w:eastAsia="Calibri" w:hAnsi="Arial" w:cs="Arial"/>
          <w:sz w:val="24"/>
          <w:szCs w:val="24"/>
          <w:lang w:eastAsia="en-US"/>
        </w:rPr>
      </w:pPr>
    </w:p>
    <w:p w14:paraId="341DBA83" w14:textId="1AE649A7" w:rsidR="00FE6889"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1. Seit Anfang der 1970er Jahre bis zum Jahr 2003 war allein der Bundesgesetzgeber für die Besoldung der Richter und Staatsanwälte zuständig. Er hatte von seiner konkurrierenden Gesetzgebungskompetenz in Art. 74a Abs. 1 GG a. F. für die Besoldung und Versorgung der Angehörigen des öffentlichen Dienstes (eingefügt durch Art. 1 Nr. 1 des Achtundzwanzigsten Gesetzes zur Veränderung des Grundgesetzes vom 18. März 1971 &lt;BGBl I S. 206&gt;) durch den Erlass des Bundesbesoldungsgesetzes abschließend Gebrauch gemacht. Bis zum Jahr 2003 war auch die Gewährung einer jährlichen Sonderzuwendung (sogenanntes Weihnachtsgeld) und eines jährlichen Urlaubsgeldes bundeseinheitlich geregelt. Das Urlaubsgeld wurde letztmalig im Jahr 2003 ausgezahlt (vgl. zu den Einzelheiten BVerfG</w:t>
      </w:r>
      <w:r w:rsidR="000E4BB5">
        <w:rPr>
          <w:rFonts w:ascii="Arial" w:eastAsia="Calibri" w:hAnsi="Arial" w:cs="Arial"/>
          <w:sz w:val="24"/>
          <w:szCs w:val="24"/>
          <w:lang w:eastAsia="en-US"/>
        </w:rPr>
        <w:t xml:space="preserve">, </w:t>
      </w:r>
      <w:r w:rsidR="00AB611F">
        <w:rPr>
          <w:rFonts w:ascii="Arial" w:eastAsia="Calibri" w:hAnsi="Arial" w:cs="Arial"/>
          <w:sz w:val="24"/>
          <w:szCs w:val="24"/>
          <w:lang w:eastAsia="en-US"/>
        </w:rPr>
        <w:t>Urt. v. 5.</w:t>
      </w:r>
      <w:r w:rsidR="003C578E">
        <w:rPr>
          <w:rFonts w:ascii="Arial" w:eastAsia="Calibri" w:hAnsi="Arial" w:cs="Arial"/>
          <w:sz w:val="24"/>
          <w:szCs w:val="24"/>
          <w:lang w:eastAsia="en-US"/>
        </w:rPr>
        <w:t>5</w:t>
      </w:r>
      <w:r w:rsidR="005B3668">
        <w:rPr>
          <w:rFonts w:ascii="Arial" w:eastAsia="Calibri" w:hAnsi="Arial" w:cs="Arial"/>
          <w:sz w:val="24"/>
          <w:szCs w:val="24"/>
          <w:lang w:eastAsia="en-US"/>
        </w:rPr>
        <w:t>.</w:t>
      </w:r>
      <w:r w:rsidR="00AB611F">
        <w:rPr>
          <w:rFonts w:ascii="Arial" w:eastAsia="Calibri" w:hAnsi="Arial" w:cs="Arial"/>
          <w:sz w:val="24"/>
          <w:szCs w:val="24"/>
          <w:lang w:eastAsia="en-US"/>
        </w:rPr>
        <w:t>2015</w:t>
      </w:r>
      <w:r w:rsidR="005B3668">
        <w:rPr>
          <w:rFonts w:ascii="Arial" w:eastAsia="Calibri" w:hAnsi="Arial" w:cs="Arial"/>
          <w:sz w:val="24"/>
          <w:szCs w:val="24"/>
          <w:lang w:eastAsia="en-US"/>
        </w:rPr>
        <w:t>, 2 BvL 17</w:t>
      </w:r>
      <w:r w:rsidR="00683F04">
        <w:rPr>
          <w:rFonts w:ascii="Arial" w:eastAsia="Calibri" w:hAnsi="Arial" w:cs="Arial"/>
          <w:sz w:val="24"/>
          <w:szCs w:val="24"/>
          <w:lang w:eastAsia="en-US"/>
        </w:rPr>
        <w:t>/09 u.a., Juris</w:t>
      </w:r>
      <w:r w:rsidR="00AB611F">
        <w:rPr>
          <w:rFonts w:ascii="Arial" w:eastAsia="Calibri" w:hAnsi="Arial" w:cs="Arial"/>
          <w:sz w:val="24"/>
          <w:szCs w:val="24"/>
          <w:lang w:eastAsia="en-US"/>
        </w:rPr>
        <w:t xml:space="preserve"> </w:t>
      </w:r>
      <w:r w:rsidRPr="008D707F">
        <w:rPr>
          <w:rFonts w:ascii="Arial" w:eastAsia="Calibri" w:hAnsi="Arial" w:cs="Arial"/>
          <w:sz w:val="24"/>
          <w:szCs w:val="24"/>
          <w:lang w:eastAsia="en-US"/>
        </w:rPr>
        <w:t>Rn. 6 ff.).</w:t>
      </w:r>
    </w:p>
    <w:p w14:paraId="1141033A" w14:textId="06258EA8" w:rsidR="008D707F" w:rsidRDefault="008D707F" w:rsidP="00503386">
      <w:pPr>
        <w:overflowPunct/>
        <w:spacing w:line="276" w:lineRule="auto"/>
        <w:jc w:val="both"/>
        <w:textAlignment w:val="auto"/>
        <w:rPr>
          <w:rFonts w:ascii="Arial" w:eastAsia="Calibri" w:hAnsi="Arial" w:cs="Arial"/>
          <w:sz w:val="24"/>
          <w:szCs w:val="24"/>
          <w:lang w:eastAsia="en-US"/>
        </w:rPr>
      </w:pPr>
    </w:p>
    <w:p w14:paraId="69DE7A8D" w14:textId="31D8B51B"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 xml:space="preserve">Im Anschluss daran wurde das Besoldungsrecht föderalisiert. Nachdem der Bundesgesetzgeber den Ländern bereits im Jahr 2003 die Befugnis eingeräumt hatte, die jährliche Sonderzahlung unter Beachtung eines bundeseinheitlichen Höchstbetrags abweichend zu regeln (vgl. zu den Einzelheiten </w:t>
      </w:r>
      <w:r w:rsidR="00B464F2" w:rsidRPr="00B464F2">
        <w:rPr>
          <w:rFonts w:ascii="Arial" w:eastAsia="Calibri" w:hAnsi="Arial" w:cs="Arial"/>
          <w:sz w:val="24"/>
          <w:szCs w:val="24"/>
          <w:lang w:eastAsia="en-US"/>
        </w:rPr>
        <w:t>BVerfG, Urt. v. 5.5.2015, 2 BvL 17/09 u.a., Juris Rn.</w:t>
      </w:r>
      <w:r w:rsidRPr="008D707F">
        <w:rPr>
          <w:rFonts w:ascii="Arial" w:eastAsia="Calibri" w:hAnsi="Arial" w:cs="Arial"/>
          <w:sz w:val="24"/>
          <w:szCs w:val="24"/>
          <w:lang w:eastAsia="en-US"/>
        </w:rPr>
        <w:t xml:space="preserve">12 ff.), ging infolge einer Grundgesetzänderung die Gesetzgebungskompetenz für die Besoldung und Versorgung der Landesbeamten (einschließlich der Richter) mit Wirkung vom 1. September 2006 auf die Länder über (vgl. </w:t>
      </w:r>
      <w:r w:rsidR="00FF1EF7" w:rsidRPr="00FF1EF7">
        <w:rPr>
          <w:rFonts w:ascii="Arial" w:eastAsia="Calibri" w:hAnsi="Arial" w:cs="Arial"/>
          <w:sz w:val="24"/>
          <w:szCs w:val="24"/>
          <w:lang w:eastAsia="en-US"/>
        </w:rPr>
        <w:t>BVerfG, Urt. v. 5.5.2015, 2 BvL 17/09 u.a., Juris Rn.</w:t>
      </w:r>
      <w:r w:rsidRPr="008D707F">
        <w:rPr>
          <w:rFonts w:ascii="Arial" w:eastAsia="Calibri" w:hAnsi="Arial" w:cs="Arial"/>
          <w:sz w:val="24"/>
          <w:szCs w:val="24"/>
          <w:lang w:eastAsia="en-US"/>
        </w:rPr>
        <w:t>. 29 f.).</w:t>
      </w:r>
    </w:p>
    <w:p w14:paraId="2A4065AA" w14:textId="0388EA00" w:rsidR="008D707F" w:rsidRDefault="008D707F" w:rsidP="00503386">
      <w:pPr>
        <w:overflowPunct/>
        <w:spacing w:line="276" w:lineRule="auto"/>
        <w:jc w:val="both"/>
        <w:textAlignment w:val="auto"/>
        <w:rPr>
          <w:rFonts w:ascii="Arial" w:eastAsia="Calibri" w:hAnsi="Arial" w:cs="Arial"/>
          <w:sz w:val="24"/>
          <w:szCs w:val="24"/>
          <w:lang w:eastAsia="en-US"/>
        </w:rPr>
      </w:pPr>
    </w:p>
    <w:p w14:paraId="3685C12A" w14:textId="7E56263E"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2. Die Besoldung der Richter und Staatsanwälte des Landes Berlin entwickelte sich im Zeitraum von 2009 bis 20</w:t>
      </w:r>
      <w:r w:rsidR="00680DC7">
        <w:rPr>
          <w:rFonts w:ascii="Arial" w:eastAsia="Calibri" w:hAnsi="Arial" w:cs="Arial"/>
          <w:sz w:val="24"/>
          <w:szCs w:val="24"/>
          <w:lang w:eastAsia="en-US"/>
        </w:rPr>
        <w:t>20</w:t>
      </w:r>
      <w:r w:rsidRPr="008D707F">
        <w:rPr>
          <w:rFonts w:ascii="Arial" w:eastAsia="Calibri" w:hAnsi="Arial" w:cs="Arial"/>
          <w:sz w:val="24"/>
          <w:szCs w:val="24"/>
          <w:lang w:eastAsia="en-US"/>
        </w:rPr>
        <w:t xml:space="preserve"> wie folgt:</w:t>
      </w:r>
    </w:p>
    <w:p w14:paraId="51C4E267" w14:textId="092E6FDA" w:rsidR="008D707F" w:rsidRDefault="008D707F" w:rsidP="00503386">
      <w:pPr>
        <w:overflowPunct/>
        <w:spacing w:line="276" w:lineRule="auto"/>
        <w:jc w:val="both"/>
        <w:textAlignment w:val="auto"/>
        <w:rPr>
          <w:rFonts w:ascii="Arial" w:eastAsia="Calibri" w:hAnsi="Arial" w:cs="Arial"/>
          <w:sz w:val="24"/>
          <w:szCs w:val="24"/>
          <w:lang w:eastAsia="en-US"/>
        </w:rPr>
      </w:pPr>
    </w:p>
    <w:p w14:paraId="5585A262" w14:textId="00A853F2"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a) Bis zum 31. Juli 2010 ergab sie sich im Wesentlichen aus der zu § 37 Abs. 1 Satz 2 BBesG erlassenen Anlage IV Nr. 4 in der Fassung des Bundesbesoldungs- und -</w:t>
      </w:r>
      <w:r w:rsidR="00C5126E">
        <w:rPr>
          <w:rFonts w:ascii="Arial" w:eastAsia="Calibri" w:hAnsi="Arial" w:cs="Arial"/>
          <w:sz w:val="24"/>
          <w:szCs w:val="24"/>
          <w:lang w:eastAsia="en-US"/>
        </w:rPr>
        <w:t>V</w:t>
      </w:r>
      <w:r w:rsidRPr="008D707F">
        <w:rPr>
          <w:rFonts w:ascii="Arial" w:eastAsia="Calibri" w:hAnsi="Arial" w:cs="Arial"/>
          <w:sz w:val="24"/>
          <w:szCs w:val="24"/>
          <w:lang w:eastAsia="en-US"/>
        </w:rPr>
        <w:t>ersorgungsanpassungsgesetzes 2003/2004 (BBVAnpG 2003/2004) vom 10. September 2003 (BGBl I S. 1798 – Anhang 27 Nr. 4: Grundgehaltssätze der Bundesbesoldungsordnung R ab dem 1. August 2004). Hinsichtlich der Grundgehaltssätze für die R-Besoldung hatte der Landesgesetzgeber zunächst keine Regelung getroffen, sodass die bundesrechtlichen Bestimmungen auf der Grundlage von Art. 125a Abs. 1 Satz 1 GG in Verbindung mit § 85 BBesG in der am 31.</w:t>
      </w:r>
      <w:r w:rsidR="00E17B72">
        <w:rPr>
          <w:rFonts w:ascii="Arial" w:eastAsia="Calibri" w:hAnsi="Arial" w:cs="Arial"/>
          <w:sz w:val="24"/>
          <w:szCs w:val="24"/>
          <w:lang w:eastAsia="en-US"/>
        </w:rPr>
        <w:t> </w:t>
      </w:r>
      <w:r w:rsidRPr="008D707F">
        <w:rPr>
          <w:rFonts w:ascii="Arial" w:eastAsia="Calibri" w:hAnsi="Arial" w:cs="Arial"/>
          <w:sz w:val="24"/>
          <w:szCs w:val="24"/>
          <w:lang w:eastAsia="en-US"/>
        </w:rPr>
        <w:t>August 2006 geltenden Fassung des BBVAnpG 2003/2004 fortgalten. Davon ausgenommen war lediglich der Familienzuschlag, der bereits durch Art. I des Gesetzes zur Änderung besoldungs- und versorgungsrechtlicher Vorschriften vom 1. Oktober 2008 (GVBl</w:t>
      </w:r>
      <w:r w:rsidR="003F40B1">
        <w:rPr>
          <w:rFonts w:ascii="Arial" w:eastAsia="Calibri" w:hAnsi="Arial" w:cs="Arial"/>
          <w:sz w:val="24"/>
          <w:szCs w:val="24"/>
          <w:lang w:eastAsia="en-US"/>
        </w:rPr>
        <w:t>.</w:t>
      </w:r>
      <w:r w:rsidRPr="008D707F">
        <w:rPr>
          <w:rFonts w:ascii="Arial" w:eastAsia="Calibri" w:hAnsi="Arial" w:cs="Arial"/>
          <w:sz w:val="24"/>
          <w:szCs w:val="24"/>
          <w:lang w:eastAsia="en-US"/>
        </w:rPr>
        <w:t xml:space="preserve"> S. 272) in einer eigenen Anlage III zum Landesbesoldungsgesetz geregelt wurde, welche die bis dahin fortgeltende Anlage V zu § 40 BBesG ersetzte.</w:t>
      </w:r>
    </w:p>
    <w:p w14:paraId="6A457601" w14:textId="05CD0099" w:rsidR="008D707F" w:rsidRDefault="008D707F" w:rsidP="00503386">
      <w:pPr>
        <w:overflowPunct/>
        <w:spacing w:line="276" w:lineRule="auto"/>
        <w:jc w:val="both"/>
        <w:textAlignment w:val="auto"/>
        <w:rPr>
          <w:rFonts w:ascii="Arial" w:eastAsia="Calibri" w:hAnsi="Arial" w:cs="Arial"/>
          <w:sz w:val="24"/>
          <w:szCs w:val="24"/>
          <w:lang w:eastAsia="en-US"/>
        </w:rPr>
      </w:pPr>
    </w:p>
    <w:p w14:paraId="249CA734" w14:textId="54A91180"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b) Durch § 2 Abs. 1 Satz 1 Nr. 1 des Gesetzes zur Besoldungs- und Versorgungsanpassung für Berlin 2010/2011 (BerlBVAnpG 2010/2011) vom 8. Juli 2010 (GVBl</w:t>
      </w:r>
      <w:r w:rsidR="003F40B1">
        <w:rPr>
          <w:rFonts w:ascii="Arial" w:eastAsia="Calibri" w:hAnsi="Arial" w:cs="Arial"/>
          <w:sz w:val="24"/>
          <w:szCs w:val="24"/>
          <w:lang w:eastAsia="en-US"/>
        </w:rPr>
        <w:t>.</w:t>
      </w:r>
      <w:r w:rsidRPr="008D707F">
        <w:rPr>
          <w:rFonts w:ascii="Arial" w:eastAsia="Calibri" w:hAnsi="Arial" w:cs="Arial"/>
          <w:sz w:val="24"/>
          <w:szCs w:val="24"/>
          <w:lang w:eastAsia="en-US"/>
        </w:rPr>
        <w:t xml:space="preserve"> S. 362) wurden die Grundgehaltssätze aller Anlagen zum Bundesbesoldungsgesetz in der am 31. August 2006 geltenden Fassung sowie der Familienzuschlag zum 1. August 2010 um 1,5 % erhöht (vgl. Anlage 1 Nr. 4 und Anlage 2 zu § 2 Abs. 1 Nr. 1 BerlBVAnpG 2010/2011).</w:t>
      </w:r>
    </w:p>
    <w:p w14:paraId="578D6D37" w14:textId="67A3C1D3" w:rsidR="008D707F" w:rsidRPr="00E71E73" w:rsidRDefault="008D707F" w:rsidP="00503386">
      <w:pPr>
        <w:overflowPunct/>
        <w:spacing w:line="276" w:lineRule="auto"/>
        <w:jc w:val="both"/>
        <w:textAlignment w:val="auto"/>
        <w:rPr>
          <w:rFonts w:ascii="Arial" w:eastAsia="Calibri" w:hAnsi="Arial" w:cs="Arial"/>
          <w:sz w:val="24"/>
          <w:szCs w:val="24"/>
          <w:lang w:eastAsia="en-US"/>
        </w:rPr>
      </w:pPr>
    </w:p>
    <w:p w14:paraId="104FBC9B" w14:textId="3AB9F13A" w:rsidR="008D707F" w:rsidRPr="00E71E73" w:rsidRDefault="008D707F" w:rsidP="00503386">
      <w:pPr>
        <w:overflowPunct/>
        <w:spacing w:line="276" w:lineRule="auto"/>
        <w:jc w:val="both"/>
        <w:textAlignment w:val="auto"/>
        <w:rPr>
          <w:rFonts w:ascii="Arial" w:eastAsia="Calibri" w:hAnsi="Arial" w:cs="Arial"/>
          <w:sz w:val="24"/>
          <w:szCs w:val="24"/>
          <w:lang w:eastAsia="en-US"/>
        </w:rPr>
      </w:pPr>
      <w:r w:rsidRPr="00E71E73">
        <w:rPr>
          <w:rFonts w:ascii="Arial" w:eastAsia="Calibri" w:hAnsi="Arial" w:cs="Arial"/>
          <w:sz w:val="24"/>
          <w:szCs w:val="24"/>
          <w:lang w:eastAsia="en-US"/>
        </w:rPr>
        <w:t>c) Das Land Berlin machte mit Wirkung vom 1. Juli 2011 von der durch Art. 125a Abs. 1 Satz</w:t>
      </w:r>
      <w:r w:rsidR="00E17B72">
        <w:rPr>
          <w:rFonts w:ascii="Arial" w:eastAsia="Calibri" w:hAnsi="Arial" w:cs="Arial"/>
          <w:sz w:val="24"/>
          <w:szCs w:val="24"/>
          <w:lang w:eastAsia="en-US"/>
        </w:rPr>
        <w:t> </w:t>
      </w:r>
      <w:r w:rsidRPr="00E71E73">
        <w:rPr>
          <w:rFonts w:ascii="Arial" w:eastAsia="Calibri" w:hAnsi="Arial" w:cs="Arial"/>
          <w:sz w:val="24"/>
          <w:szCs w:val="24"/>
          <w:lang w:eastAsia="en-US"/>
        </w:rPr>
        <w:t>2 GG eingeräumten Ersetzungsbefugnis umfassend Gebrauch. Durch Art. III § 1 Nr. 3 des Zweiten Dienstrechtsänderungsgesetzes vom 21. Juni 2011 (GVBl</w:t>
      </w:r>
      <w:r w:rsidR="003F40B1">
        <w:rPr>
          <w:rFonts w:ascii="Arial" w:eastAsia="Calibri" w:hAnsi="Arial" w:cs="Arial"/>
          <w:sz w:val="24"/>
          <w:szCs w:val="24"/>
          <w:lang w:eastAsia="en-US"/>
        </w:rPr>
        <w:t>.</w:t>
      </w:r>
      <w:r w:rsidRPr="00E71E73">
        <w:rPr>
          <w:rFonts w:ascii="Arial" w:eastAsia="Calibri" w:hAnsi="Arial" w:cs="Arial"/>
          <w:sz w:val="24"/>
          <w:szCs w:val="24"/>
          <w:lang w:eastAsia="en-US"/>
        </w:rPr>
        <w:t xml:space="preserve"> S. 266) wurde § 1b des Landesbesoldungsgesetzes (im Folgenden: LBesG BE) eingefügt. Danach gelten die bundesrechtlichen Besoldungsbestimmungen (nach Maßgabe der bereits angeordneten landesrechtlichen Modifikationen) als Landesrecht fort. Durch Art. I § 1 Nr. 6 Buchstabe a des Gesetzes zur Besoldungsneuregelung für das Land Berlin (BerlBesNG) vom 29. Juni 2011 (GVBl</w:t>
      </w:r>
      <w:r w:rsidR="003F40B1">
        <w:rPr>
          <w:rFonts w:ascii="Arial" w:eastAsia="Calibri" w:hAnsi="Arial" w:cs="Arial"/>
          <w:sz w:val="24"/>
          <w:szCs w:val="24"/>
          <w:lang w:eastAsia="en-US"/>
        </w:rPr>
        <w:t>.</w:t>
      </w:r>
      <w:r w:rsidRPr="00E71E73">
        <w:rPr>
          <w:rFonts w:ascii="Arial" w:eastAsia="Calibri" w:hAnsi="Arial" w:cs="Arial"/>
          <w:sz w:val="24"/>
          <w:szCs w:val="24"/>
          <w:lang w:eastAsia="en-US"/>
        </w:rPr>
        <w:t xml:space="preserve"> S. 306) wurde der auf diese Weise in Landesrecht transformierte § 37 BBesG dahingehend geändert, dass sich die Grundgehaltssätze der Landesbesoldungsordnung R aus Anlage 2 zum BerlBesNG ergeben. Diese fasste die Grundgehaltssätze zum 1. August 2011 – unter Umstellung auf Erfahrungsstufen – neu. Beim Familienzuschlag verblieb es bei der ursprünglich vorgesehenen Erhöhung um 2 % (vgl. Anlage 16 zu § 2 Abs. 3 BerlBVAnpG 2010/2011). Die Gesetzesbegründung erläuterte lediglich die Überleitung in Landesrecht (</w:t>
      </w:r>
      <w:r w:rsidR="000C3CAF" w:rsidRPr="00E71E73">
        <w:rPr>
          <w:rFonts w:ascii="Arial" w:eastAsia="Calibri" w:hAnsi="Arial" w:cs="Arial"/>
          <w:sz w:val="24"/>
          <w:szCs w:val="24"/>
          <w:lang w:eastAsia="en-US"/>
        </w:rPr>
        <w:t>A</w:t>
      </w:r>
      <w:r w:rsidR="008135F2">
        <w:rPr>
          <w:rFonts w:ascii="Arial" w:eastAsia="Calibri" w:hAnsi="Arial" w:cs="Arial"/>
          <w:sz w:val="24"/>
          <w:szCs w:val="24"/>
          <w:lang w:eastAsia="en-US"/>
        </w:rPr>
        <w:t>H</w:t>
      </w:r>
      <w:r w:rsidRPr="00E71E73">
        <w:rPr>
          <w:rFonts w:ascii="Arial" w:eastAsia="Calibri" w:hAnsi="Arial" w:cs="Arial"/>
          <w:sz w:val="24"/>
          <w:szCs w:val="24"/>
          <w:lang w:eastAsia="en-US"/>
        </w:rPr>
        <w:t>-Drs</w:t>
      </w:r>
      <w:r w:rsidR="000C3CAF">
        <w:rPr>
          <w:rFonts w:ascii="Arial" w:eastAsia="Calibri" w:hAnsi="Arial" w:cs="Arial"/>
          <w:sz w:val="24"/>
          <w:szCs w:val="24"/>
          <w:lang w:eastAsia="en-US"/>
        </w:rPr>
        <w:t>.</w:t>
      </w:r>
      <w:r w:rsidRPr="00E71E73">
        <w:rPr>
          <w:rFonts w:ascii="Arial" w:eastAsia="Calibri" w:hAnsi="Arial" w:cs="Arial"/>
          <w:sz w:val="24"/>
          <w:szCs w:val="24"/>
          <w:lang w:eastAsia="en-US"/>
        </w:rPr>
        <w:t xml:space="preserve"> 16/3242, S. 10). Eine Auseinandersetzung mit der Höhe der nun geltenden Besoldungssätze fand nicht statt.</w:t>
      </w:r>
    </w:p>
    <w:p w14:paraId="69D0F7A9" w14:textId="10B9F739" w:rsidR="008D707F" w:rsidRPr="00E71E73" w:rsidRDefault="008D707F" w:rsidP="00503386">
      <w:pPr>
        <w:overflowPunct/>
        <w:spacing w:line="276" w:lineRule="auto"/>
        <w:jc w:val="both"/>
        <w:textAlignment w:val="auto"/>
        <w:rPr>
          <w:rFonts w:ascii="Arial" w:eastAsia="Calibri" w:hAnsi="Arial" w:cs="Arial"/>
          <w:sz w:val="24"/>
          <w:szCs w:val="24"/>
          <w:lang w:eastAsia="en-US"/>
        </w:rPr>
      </w:pPr>
    </w:p>
    <w:p w14:paraId="494DFD9A" w14:textId="2416DD0B"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d) Durch das Gesetz zur Anpassung der Besoldung und Versorgung für das Land Berlin 2012/2013 (BerlBVAnpG 2012/2013) vom 21. September 2012 (GVBl</w:t>
      </w:r>
      <w:r w:rsidR="003F40B1">
        <w:rPr>
          <w:rFonts w:ascii="Arial" w:eastAsia="Calibri" w:hAnsi="Arial" w:cs="Arial"/>
          <w:sz w:val="24"/>
          <w:szCs w:val="24"/>
          <w:lang w:eastAsia="en-US"/>
        </w:rPr>
        <w:t>.</w:t>
      </w:r>
      <w:r w:rsidRPr="008D707F">
        <w:rPr>
          <w:rFonts w:ascii="Arial" w:eastAsia="Calibri" w:hAnsi="Arial" w:cs="Arial"/>
          <w:sz w:val="24"/>
          <w:szCs w:val="24"/>
          <w:lang w:eastAsia="en-US"/>
        </w:rPr>
        <w:t xml:space="preserve"> S. 291) wurden die Grundgehaltssätze sowie der Familienzuschlag zum 1. August 2012 und zum 1. August 2013 jeweils um 2 % erhöht (vgl. Anlage 1 Nr. 4 und Anlage 2 zu Art. I § 2 Abs. 1 Satz 1 Nr. 1 und 2 und zu Nr. 5 BerlBVAnpG 2012/2013 beziehungsweise Anlage 16 Nr. 4 und Anlage 17 zu Art. I § 2 Abs. 3 BerlBVAnpG 2012/2013). </w:t>
      </w:r>
    </w:p>
    <w:p w14:paraId="4308B4A2" w14:textId="40068CDC" w:rsidR="008D707F" w:rsidRDefault="008D707F" w:rsidP="00503386">
      <w:pPr>
        <w:overflowPunct/>
        <w:spacing w:line="276" w:lineRule="auto"/>
        <w:jc w:val="both"/>
        <w:textAlignment w:val="auto"/>
        <w:rPr>
          <w:rFonts w:ascii="Arial" w:eastAsia="Calibri" w:hAnsi="Arial" w:cs="Arial"/>
          <w:sz w:val="24"/>
          <w:szCs w:val="24"/>
          <w:lang w:eastAsia="en-US"/>
        </w:rPr>
      </w:pPr>
    </w:p>
    <w:p w14:paraId="56569DE0" w14:textId="1C2AAFE3" w:rsidR="008D707F" w:rsidRDefault="008D707F" w:rsidP="00503386">
      <w:pPr>
        <w:overflowPunct/>
        <w:spacing w:line="276" w:lineRule="auto"/>
        <w:jc w:val="both"/>
        <w:textAlignment w:val="auto"/>
        <w:rPr>
          <w:rFonts w:ascii="Arial" w:eastAsia="Calibri" w:hAnsi="Arial" w:cs="Arial"/>
          <w:sz w:val="24"/>
          <w:szCs w:val="24"/>
          <w:lang w:eastAsia="en-US"/>
        </w:rPr>
      </w:pPr>
      <w:r w:rsidRPr="008D707F">
        <w:rPr>
          <w:rFonts w:ascii="Arial" w:eastAsia="Calibri" w:hAnsi="Arial" w:cs="Arial"/>
          <w:sz w:val="24"/>
          <w:szCs w:val="24"/>
          <w:lang w:eastAsia="en-US"/>
        </w:rPr>
        <w:t xml:space="preserve">e) </w:t>
      </w:r>
      <w:r>
        <w:rPr>
          <w:rFonts w:ascii="Arial" w:eastAsia="Calibri" w:hAnsi="Arial" w:cs="Arial"/>
          <w:sz w:val="24"/>
          <w:szCs w:val="24"/>
          <w:lang w:eastAsia="en-US"/>
        </w:rPr>
        <w:t>D</w:t>
      </w:r>
      <w:r w:rsidRPr="008D707F">
        <w:rPr>
          <w:rFonts w:ascii="Arial" w:eastAsia="Calibri" w:hAnsi="Arial" w:cs="Arial"/>
          <w:sz w:val="24"/>
          <w:szCs w:val="24"/>
          <w:lang w:eastAsia="en-US"/>
        </w:rPr>
        <w:t>urch das Gesetz zur Anpassung der Besoldung und Versorgung für das Land Berlin 2014/2015 und zur Änderung weiterer besoldungsrechtlicher Vorschriften (BerlBVAnpG 2014/2015) vom 9. Juli 2014 (GVBl</w:t>
      </w:r>
      <w:r w:rsidR="003F40B1">
        <w:rPr>
          <w:rFonts w:ascii="Arial" w:eastAsia="Calibri" w:hAnsi="Arial" w:cs="Arial"/>
          <w:sz w:val="24"/>
          <w:szCs w:val="24"/>
          <w:lang w:eastAsia="en-US"/>
        </w:rPr>
        <w:t>.</w:t>
      </w:r>
      <w:r w:rsidRPr="008D707F">
        <w:rPr>
          <w:rFonts w:ascii="Arial" w:eastAsia="Calibri" w:hAnsi="Arial" w:cs="Arial"/>
          <w:sz w:val="24"/>
          <w:szCs w:val="24"/>
          <w:lang w:eastAsia="en-US"/>
        </w:rPr>
        <w:t xml:space="preserve"> S. 250) </w:t>
      </w:r>
      <w:r w:rsidR="00154DB5">
        <w:rPr>
          <w:rFonts w:ascii="Arial" w:eastAsia="Calibri" w:hAnsi="Arial" w:cs="Arial"/>
          <w:sz w:val="24"/>
          <w:szCs w:val="24"/>
          <w:lang w:eastAsia="en-US"/>
        </w:rPr>
        <w:t xml:space="preserve">wurden </w:t>
      </w:r>
      <w:r w:rsidRPr="008D707F">
        <w:rPr>
          <w:rFonts w:ascii="Arial" w:eastAsia="Calibri" w:hAnsi="Arial" w:cs="Arial"/>
          <w:sz w:val="24"/>
          <w:szCs w:val="24"/>
          <w:lang w:eastAsia="en-US"/>
        </w:rPr>
        <w:t xml:space="preserve">die Grundgehaltssätze und der Familienzuschlag zum 1. August 2014 um 3 % erhöht, wobei beim Familienzuschlag </w:t>
      </w:r>
      <w:bookmarkStart w:id="2" w:name="_Hlk88219492"/>
      <w:r w:rsidRPr="008D707F">
        <w:rPr>
          <w:rFonts w:ascii="Arial" w:eastAsia="Calibri" w:hAnsi="Arial" w:cs="Arial"/>
          <w:sz w:val="24"/>
          <w:szCs w:val="24"/>
          <w:lang w:eastAsia="en-US"/>
        </w:rPr>
        <w:t>Erhöhungsbeträge für die unteren Besoldungsgruppen</w:t>
      </w:r>
      <w:bookmarkEnd w:id="2"/>
      <w:r w:rsidRPr="008D707F">
        <w:rPr>
          <w:rFonts w:ascii="Arial" w:eastAsia="Calibri" w:hAnsi="Arial" w:cs="Arial"/>
          <w:sz w:val="24"/>
          <w:szCs w:val="24"/>
          <w:lang w:eastAsia="en-US"/>
        </w:rPr>
        <w:t xml:space="preserve"> eingeführt wurden (vgl. Anlage 1 Nr. 4 zu Art. I § 2 Abs. 1 Satz 1 Nr. 1 beziehungsweise Anlage 2 zu Art. I § 2 Abs. 2 BerlBVAnpG 2014/2015). Zum 1. August 2015 wurden die Grundgehaltssätze sowie der Familienzuschlag um weitere 3,2 % erhöht. Zugleich bestimmte Art. I § 2 Abs. 6 BerlBVAnpG 2014/2015 jedoch, dass diese Erhöhung der Bezüge nach Maßgabe des § 14a Abs. 2 Satz 1 in Verbindung mit Abs.</w:t>
      </w:r>
      <w:r w:rsidR="00E17B72">
        <w:rPr>
          <w:rFonts w:ascii="Arial" w:eastAsia="Calibri" w:hAnsi="Arial" w:cs="Arial"/>
          <w:sz w:val="24"/>
          <w:szCs w:val="24"/>
          <w:lang w:eastAsia="en-US"/>
        </w:rPr>
        <w:t> </w:t>
      </w:r>
      <w:r w:rsidRPr="008D707F">
        <w:rPr>
          <w:rFonts w:ascii="Arial" w:eastAsia="Calibri" w:hAnsi="Arial" w:cs="Arial"/>
          <w:sz w:val="24"/>
          <w:szCs w:val="24"/>
          <w:lang w:eastAsia="en-US"/>
        </w:rPr>
        <w:t xml:space="preserve">1 Satz 2 BBesG in der Überleitungsfassung für Berlin vermindert werde. Das bedeutet, dass die Bezüge effektiv statt um 3,2 % nur um 3 % erhöht und die Einsparungen der Versorgungsrücklage zugeführt wurden. Die Höhe der Bezüge wurde in Anlage 15 Nr. 4 und Anlage 16 zu Art. I § 2 Abs. 4 BerlBVAnpG 2014/2015 ausgewiesen. </w:t>
      </w:r>
    </w:p>
    <w:p w14:paraId="661D1432" w14:textId="77777777" w:rsidR="005D0D0A" w:rsidRDefault="005D0D0A" w:rsidP="00503386">
      <w:pPr>
        <w:overflowPunct/>
        <w:spacing w:line="276" w:lineRule="auto"/>
        <w:jc w:val="both"/>
        <w:textAlignment w:val="auto"/>
        <w:rPr>
          <w:rFonts w:ascii="Arial" w:eastAsia="Calibri" w:hAnsi="Arial" w:cs="Arial"/>
          <w:sz w:val="24"/>
          <w:szCs w:val="24"/>
          <w:lang w:eastAsia="en-US"/>
        </w:rPr>
      </w:pPr>
    </w:p>
    <w:p w14:paraId="687523B0" w14:textId="6B4C13DD" w:rsidR="00154DB5" w:rsidRDefault="00154DB5" w:rsidP="00503386">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f) </w:t>
      </w:r>
      <w:r w:rsidR="00E775D8">
        <w:rPr>
          <w:rFonts w:ascii="Arial" w:eastAsia="Calibri" w:hAnsi="Arial" w:cs="Arial"/>
          <w:sz w:val="24"/>
          <w:szCs w:val="24"/>
          <w:lang w:eastAsia="en-US"/>
        </w:rPr>
        <w:t xml:space="preserve">Durch das </w:t>
      </w:r>
      <w:r w:rsidR="005D0D0A" w:rsidRPr="005D0D0A">
        <w:rPr>
          <w:rFonts w:ascii="Arial" w:eastAsia="Calibri" w:hAnsi="Arial" w:cs="Arial"/>
          <w:sz w:val="24"/>
          <w:szCs w:val="24"/>
          <w:lang w:eastAsia="en-US"/>
        </w:rPr>
        <w:t xml:space="preserve">Gesetz zur Anpassung der Besoldung und Versorgung für das Land Berlin 2016 und zur Änderung weiterer besoldungsrechtlicher Vorschriften </w:t>
      </w:r>
      <w:r w:rsidR="00E775D8">
        <w:rPr>
          <w:rFonts w:ascii="Arial" w:eastAsia="Calibri" w:hAnsi="Arial" w:cs="Arial"/>
          <w:sz w:val="24"/>
          <w:szCs w:val="24"/>
          <w:lang w:eastAsia="en-US"/>
        </w:rPr>
        <w:t xml:space="preserve">(BerlBVAnpG 2016) </w:t>
      </w:r>
      <w:r w:rsidR="005D0D0A" w:rsidRPr="005D0D0A">
        <w:rPr>
          <w:rFonts w:ascii="Arial" w:eastAsia="Calibri" w:hAnsi="Arial" w:cs="Arial"/>
          <w:sz w:val="24"/>
          <w:szCs w:val="24"/>
          <w:lang w:eastAsia="en-US"/>
        </w:rPr>
        <w:t>vom 17.</w:t>
      </w:r>
      <w:r w:rsidR="00E17B72">
        <w:rPr>
          <w:rFonts w:ascii="Arial" w:eastAsia="Calibri" w:hAnsi="Arial" w:cs="Arial"/>
          <w:sz w:val="24"/>
          <w:szCs w:val="24"/>
          <w:lang w:eastAsia="en-US"/>
        </w:rPr>
        <w:t> </w:t>
      </w:r>
      <w:r w:rsidR="005D0D0A" w:rsidRPr="005D0D0A">
        <w:rPr>
          <w:rFonts w:ascii="Arial" w:eastAsia="Calibri" w:hAnsi="Arial" w:cs="Arial"/>
          <w:sz w:val="24"/>
          <w:szCs w:val="24"/>
          <w:lang w:eastAsia="en-US"/>
        </w:rPr>
        <w:t xml:space="preserve">Juni 2016 </w:t>
      </w:r>
      <w:r w:rsidR="00E775D8" w:rsidRPr="00E775D8">
        <w:rPr>
          <w:rFonts w:ascii="Arial" w:eastAsia="Calibri" w:hAnsi="Arial" w:cs="Arial"/>
          <w:sz w:val="24"/>
          <w:szCs w:val="24"/>
          <w:lang w:eastAsia="en-US"/>
        </w:rPr>
        <w:t>(GVBl</w:t>
      </w:r>
      <w:r w:rsidR="00AD4593">
        <w:rPr>
          <w:rFonts w:ascii="Arial" w:eastAsia="Calibri" w:hAnsi="Arial" w:cs="Arial"/>
          <w:sz w:val="24"/>
          <w:szCs w:val="24"/>
          <w:lang w:eastAsia="en-US"/>
        </w:rPr>
        <w:t>.</w:t>
      </w:r>
      <w:r w:rsidR="00E775D8" w:rsidRPr="00E775D8">
        <w:rPr>
          <w:rFonts w:ascii="Arial" w:eastAsia="Calibri" w:hAnsi="Arial" w:cs="Arial"/>
          <w:sz w:val="24"/>
          <w:szCs w:val="24"/>
          <w:lang w:eastAsia="en-US"/>
        </w:rPr>
        <w:t xml:space="preserve"> S. </w:t>
      </w:r>
      <w:r w:rsidR="005D0D0A" w:rsidRPr="005D0D0A">
        <w:rPr>
          <w:rFonts w:ascii="Arial" w:eastAsia="Calibri" w:hAnsi="Arial" w:cs="Arial"/>
          <w:sz w:val="24"/>
          <w:szCs w:val="24"/>
          <w:lang w:eastAsia="en-US"/>
        </w:rPr>
        <w:t>334</w:t>
      </w:r>
      <w:r w:rsidR="00E775D8">
        <w:rPr>
          <w:rFonts w:ascii="Arial" w:eastAsia="Calibri" w:hAnsi="Arial" w:cs="Arial"/>
          <w:sz w:val="24"/>
          <w:szCs w:val="24"/>
          <w:lang w:eastAsia="en-US"/>
        </w:rPr>
        <w:t xml:space="preserve">) </w:t>
      </w:r>
      <w:r w:rsidR="00E775D8" w:rsidRPr="00E775D8">
        <w:rPr>
          <w:rFonts w:ascii="Arial" w:eastAsia="Calibri" w:hAnsi="Arial" w:cs="Arial"/>
          <w:sz w:val="24"/>
          <w:szCs w:val="24"/>
          <w:lang w:eastAsia="en-US"/>
        </w:rPr>
        <w:t>wurden die Grundgehaltssätze</w:t>
      </w:r>
      <w:r w:rsidR="000F0C7D">
        <w:rPr>
          <w:rFonts w:ascii="Arial" w:eastAsia="Calibri" w:hAnsi="Arial" w:cs="Arial"/>
          <w:sz w:val="24"/>
          <w:szCs w:val="24"/>
          <w:lang w:eastAsia="en-US"/>
        </w:rPr>
        <w:t xml:space="preserve">, </w:t>
      </w:r>
      <w:r w:rsidR="00E775D8" w:rsidRPr="00E775D8">
        <w:rPr>
          <w:rFonts w:ascii="Arial" w:eastAsia="Calibri" w:hAnsi="Arial" w:cs="Arial"/>
          <w:sz w:val="24"/>
          <w:szCs w:val="24"/>
          <w:lang w:eastAsia="en-US"/>
        </w:rPr>
        <w:t xml:space="preserve">der Familienzuschlag </w:t>
      </w:r>
      <w:r w:rsidR="000F0C7D">
        <w:rPr>
          <w:rFonts w:ascii="Arial" w:eastAsia="Calibri" w:hAnsi="Arial" w:cs="Arial"/>
          <w:sz w:val="24"/>
          <w:szCs w:val="24"/>
          <w:lang w:eastAsia="en-US"/>
        </w:rPr>
        <w:t xml:space="preserve">und die </w:t>
      </w:r>
      <w:r w:rsidR="000F0C7D" w:rsidRPr="000F0C7D">
        <w:rPr>
          <w:rFonts w:ascii="Arial" w:eastAsia="Calibri" w:hAnsi="Arial" w:cs="Arial"/>
          <w:sz w:val="24"/>
          <w:szCs w:val="24"/>
          <w:lang w:eastAsia="en-US"/>
        </w:rPr>
        <w:t xml:space="preserve">Erhöhungsbeträge </w:t>
      </w:r>
      <w:r w:rsidR="000F0C7D">
        <w:rPr>
          <w:rFonts w:ascii="Arial" w:eastAsia="Calibri" w:hAnsi="Arial" w:cs="Arial"/>
          <w:sz w:val="24"/>
          <w:szCs w:val="24"/>
          <w:lang w:eastAsia="en-US"/>
        </w:rPr>
        <w:t xml:space="preserve">zum Familienzuschlag </w:t>
      </w:r>
      <w:r w:rsidR="000F0C7D" w:rsidRPr="000F0C7D">
        <w:rPr>
          <w:rFonts w:ascii="Arial" w:eastAsia="Calibri" w:hAnsi="Arial" w:cs="Arial"/>
          <w:sz w:val="24"/>
          <w:szCs w:val="24"/>
          <w:lang w:eastAsia="en-US"/>
        </w:rPr>
        <w:t xml:space="preserve">für die unteren Besoldungsgruppen </w:t>
      </w:r>
      <w:r w:rsidR="00E775D8" w:rsidRPr="00E775D8">
        <w:rPr>
          <w:rFonts w:ascii="Arial" w:eastAsia="Calibri" w:hAnsi="Arial" w:cs="Arial"/>
          <w:sz w:val="24"/>
          <w:szCs w:val="24"/>
          <w:lang w:eastAsia="en-US"/>
        </w:rPr>
        <w:t>zum 1. August 201</w:t>
      </w:r>
      <w:r w:rsidR="00E775D8">
        <w:rPr>
          <w:rFonts w:ascii="Arial" w:eastAsia="Calibri" w:hAnsi="Arial" w:cs="Arial"/>
          <w:sz w:val="24"/>
          <w:szCs w:val="24"/>
          <w:lang w:eastAsia="en-US"/>
        </w:rPr>
        <w:t>6</w:t>
      </w:r>
      <w:r w:rsidR="00E775D8" w:rsidRPr="00E775D8">
        <w:rPr>
          <w:rFonts w:ascii="Arial" w:eastAsia="Calibri" w:hAnsi="Arial" w:cs="Arial"/>
          <w:sz w:val="24"/>
          <w:szCs w:val="24"/>
          <w:lang w:eastAsia="en-US"/>
        </w:rPr>
        <w:t xml:space="preserve"> um 3 % erhöht</w:t>
      </w:r>
      <w:r w:rsidR="00E775D8">
        <w:rPr>
          <w:rFonts w:ascii="Arial" w:eastAsia="Calibri" w:hAnsi="Arial" w:cs="Arial"/>
          <w:sz w:val="24"/>
          <w:szCs w:val="24"/>
          <w:lang w:eastAsia="en-US"/>
        </w:rPr>
        <w:t>.</w:t>
      </w:r>
      <w:r w:rsidR="00F6309E" w:rsidRPr="00F6309E">
        <w:t xml:space="preserve"> </w:t>
      </w:r>
      <w:r w:rsidR="00F6309E" w:rsidRPr="00F6309E">
        <w:rPr>
          <w:rFonts w:ascii="Arial" w:eastAsia="Calibri" w:hAnsi="Arial" w:cs="Arial"/>
          <w:sz w:val="24"/>
          <w:szCs w:val="24"/>
          <w:lang w:eastAsia="en-US"/>
        </w:rPr>
        <w:t xml:space="preserve">Zugleich bestimmte Art. I § 2 Abs. </w:t>
      </w:r>
      <w:r w:rsidR="00F6309E">
        <w:rPr>
          <w:rFonts w:ascii="Arial" w:eastAsia="Calibri" w:hAnsi="Arial" w:cs="Arial"/>
          <w:sz w:val="24"/>
          <w:szCs w:val="24"/>
          <w:lang w:eastAsia="en-US"/>
        </w:rPr>
        <w:t>3</w:t>
      </w:r>
      <w:r w:rsidR="00F6309E" w:rsidRPr="00F6309E">
        <w:rPr>
          <w:rFonts w:ascii="Arial" w:eastAsia="Calibri" w:hAnsi="Arial" w:cs="Arial"/>
          <w:sz w:val="24"/>
          <w:szCs w:val="24"/>
          <w:lang w:eastAsia="en-US"/>
        </w:rPr>
        <w:t xml:space="preserve"> BerlBVAnpG </w:t>
      </w:r>
      <w:r w:rsidR="00F6309E">
        <w:rPr>
          <w:rFonts w:ascii="Arial" w:eastAsia="Calibri" w:hAnsi="Arial" w:cs="Arial"/>
          <w:sz w:val="24"/>
          <w:szCs w:val="24"/>
          <w:lang w:eastAsia="en-US"/>
        </w:rPr>
        <w:t>2016</w:t>
      </w:r>
      <w:r w:rsidR="00F6309E" w:rsidRPr="00F6309E">
        <w:rPr>
          <w:rFonts w:ascii="Arial" w:eastAsia="Calibri" w:hAnsi="Arial" w:cs="Arial"/>
          <w:sz w:val="24"/>
          <w:szCs w:val="24"/>
          <w:lang w:eastAsia="en-US"/>
        </w:rPr>
        <w:t xml:space="preserve"> jedoch, dass diese Erhöhung der Bezüge nach Maßgabe des § 14a Abs. 2 Satz 1 in Verbindung mit Abs.</w:t>
      </w:r>
      <w:r w:rsidR="00E17B72">
        <w:rPr>
          <w:rFonts w:ascii="Arial" w:eastAsia="Calibri" w:hAnsi="Arial" w:cs="Arial"/>
          <w:sz w:val="24"/>
          <w:szCs w:val="24"/>
          <w:lang w:eastAsia="en-US"/>
        </w:rPr>
        <w:t> </w:t>
      </w:r>
      <w:r w:rsidR="00F6309E" w:rsidRPr="00F6309E">
        <w:rPr>
          <w:rFonts w:ascii="Arial" w:eastAsia="Calibri" w:hAnsi="Arial" w:cs="Arial"/>
          <w:sz w:val="24"/>
          <w:szCs w:val="24"/>
          <w:lang w:eastAsia="en-US"/>
        </w:rPr>
        <w:t xml:space="preserve">1 </w:t>
      </w:r>
      <w:r w:rsidR="00F6309E" w:rsidRPr="00F6309E">
        <w:rPr>
          <w:rFonts w:ascii="Arial" w:eastAsia="Calibri" w:hAnsi="Arial" w:cs="Arial"/>
          <w:sz w:val="24"/>
          <w:szCs w:val="24"/>
          <w:lang w:eastAsia="en-US"/>
        </w:rPr>
        <w:lastRenderedPageBreak/>
        <w:t xml:space="preserve">Satz 2 BBesG in der Überleitungsfassung für Berlin vermindert werde. Das bedeutet, dass die Bezüge effektiv statt um 3 % nur um </w:t>
      </w:r>
      <w:r w:rsidR="00F6309E">
        <w:rPr>
          <w:rFonts w:ascii="Arial" w:eastAsia="Calibri" w:hAnsi="Arial" w:cs="Arial"/>
          <w:sz w:val="24"/>
          <w:szCs w:val="24"/>
          <w:lang w:eastAsia="en-US"/>
        </w:rPr>
        <w:t>2,8</w:t>
      </w:r>
      <w:r w:rsidR="00F6309E" w:rsidRPr="00F6309E">
        <w:rPr>
          <w:rFonts w:ascii="Arial" w:eastAsia="Calibri" w:hAnsi="Arial" w:cs="Arial"/>
          <w:sz w:val="24"/>
          <w:szCs w:val="24"/>
          <w:lang w:eastAsia="en-US"/>
        </w:rPr>
        <w:t xml:space="preserve"> % erhöht und die Einsparungen der Versorgungsrücklage zugeführt wurden.</w:t>
      </w:r>
    </w:p>
    <w:p w14:paraId="03C31654" w14:textId="4A5F92DD" w:rsidR="000F0C7D" w:rsidRDefault="000F0C7D" w:rsidP="00503386">
      <w:pPr>
        <w:overflowPunct/>
        <w:spacing w:line="276" w:lineRule="auto"/>
        <w:jc w:val="both"/>
        <w:textAlignment w:val="auto"/>
        <w:rPr>
          <w:rFonts w:ascii="Arial" w:eastAsia="Calibri" w:hAnsi="Arial" w:cs="Arial"/>
          <w:sz w:val="24"/>
          <w:szCs w:val="24"/>
          <w:lang w:eastAsia="en-US"/>
        </w:rPr>
      </w:pPr>
    </w:p>
    <w:p w14:paraId="4F91F9F5" w14:textId="60A30663" w:rsidR="00F6309E" w:rsidRDefault="00F6309E" w:rsidP="00503386">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g</w:t>
      </w:r>
      <w:r w:rsidRPr="00F6309E">
        <w:rPr>
          <w:rFonts w:ascii="Arial" w:eastAsia="Calibri" w:hAnsi="Arial" w:cs="Arial"/>
          <w:sz w:val="24"/>
          <w:szCs w:val="24"/>
          <w:lang w:eastAsia="en-US"/>
        </w:rPr>
        <w:t>) Durch das Gesetz zur Anpassung der Besoldung und Versorgung für das Land Berlin 201</w:t>
      </w:r>
      <w:r>
        <w:rPr>
          <w:rFonts w:ascii="Arial" w:eastAsia="Calibri" w:hAnsi="Arial" w:cs="Arial"/>
          <w:sz w:val="24"/>
          <w:szCs w:val="24"/>
          <w:lang w:eastAsia="en-US"/>
        </w:rPr>
        <w:t>7/2018, zur Änderung des Sonderzahlungsgesetzes</w:t>
      </w:r>
      <w:r w:rsidRPr="00F6309E">
        <w:rPr>
          <w:rFonts w:ascii="Arial" w:eastAsia="Calibri" w:hAnsi="Arial" w:cs="Arial"/>
          <w:sz w:val="24"/>
          <w:szCs w:val="24"/>
          <w:lang w:eastAsia="en-US"/>
        </w:rPr>
        <w:t xml:space="preserve"> und zur Änderung weiterer besoldungsrechtlicher Vorschriften (BerlBVAnpG 201</w:t>
      </w:r>
      <w:r>
        <w:rPr>
          <w:rFonts w:ascii="Arial" w:eastAsia="Calibri" w:hAnsi="Arial" w:cs="Arial"/>
          <w:sz w:val="24"/>
          <w:szCs w:val="24"/>
          <w:lang w:eastAsia="en-US"/>
        </w:rPr>
        <w:t>7/</w:t>
      </w:r>
      <w:r w:rsidR="004953EA">
        <w:rPr>
          <w:rFonts w:ascii="Arial" w:eastAsia="Calibri" w:hAnsi="Arial" w:cs="Arial"/>
          <w:sz w:val="24"/>
          <w:szCs w:val="24"/>
          <w:lang w:eastAsia="en-US"/>
        </w:rPr>
        <w:t>20</w:t>
      </w:r>
      <w:r>
        <w:rPr>
          <w:rFonts w:ascii="Arial" w:eastAsia="Calibri" w:hAnsi="Arial" w:cs="Arial"/>
          <w:sz w:val="24"/>
          <w:szCs w:val="24"/>
          <w:lang w:eastAsia="en-US"/>
        </w:rPr>
        <w:t>18</w:t>
      </w:r>
      <w:r w:rsidRPr="00F6309E">
        <w:rPr>
          <w:rFonts w:ascii="Arial" w:eastAsia="Calibri" w:hAnsi="Arial" w:cs="Arial"/>
          <w:sz w:val="24"/>
          <w:szCs w:val="24"/>
          <w:lang w:eastAsia="en-US"/>
        </w:rPr>
        <w:t xml:space="preserve">) vom </w:t>
      </w:r>
      <w:r>
        <w:rPr>
          <w:rFonts w:ascii="Arial" w:eastAsia="Calibri" w:hAnsi="Arial" w:cs="Arial"/>
          <w:sz w:val="24"/>
          <w:szCs w:val="24"/>
          <w:lang w:eastAsia="en-US"/>
        </w:rPr>
        <w:t>20</w:t>
      </w:r>
      <w:r w:rsidRPr="00F6309E">
        <w:rPr>
          <w:rFonts w:ascii="Arial" w:eastAsia="Calibri" w:hAnsi="Arial" w:cs="Arial"/>
          <w:sz w:val="24"/>
          <w:szCs w:val="24"/>
          <w:lang w:eastAsia="en-US"/>
        </w:rPr>
        <w:t>. Ju</w:t>
      </w:r>
      <w:r>
        <w:rPr>
          <w:rFonts w:ascii="Arial" w:eastAsia="Calibri" w:hAnsi="Arial" w:cs="Arial"/>
          <w:sz w:val="24"/>
          <w:szCs w:val="24"/>
          <w:lang w:eastAsia="en-US"/>
        </w:rPr>
        <w:t>l</w:t>
      </w:r>
      <w:r w:rsidRPr="00F6309E">
        <w:rPr>
          <w:rFonts w:ascii="Arial" w:eastAsia="Calibri" w:hAnsi="Arial" w:cs="Arial"/>
          <w:sz w:val="24"/>
          <w:szCs w:val="24"/>
          <w:lang w:eastAsia="en-US"/>
        </w:rPr>
        <w:t>i 201</w:t>
      </w:r>
      <w:r>
        <w:rPr>
          <w:rFonts w:ascii="Arial" w:eastAsia="Calibri" w:hAnsi="Arial" w:cs="Arial"/>
          <w:sz w:val="24"/>
          <w:szCs w:val="24"/>
          <w:lang w:eastAsia="en-US"/>
        </w:rPr>
        <w:t>7</w:t>
      </w:r>
      <w:r w:rsidRPr="00F6309E">
        <w:rPr>
          <w:rFonts w:ascii="Arial" w:eastAsia="Calibri" w:hAnsi="Arial" w:cs="Arial"/>
          <w:sz w:val="24"/>
          <w:szCs w:val="24"/>
          <w:lang w:eastAsia="en-US"/>
        </w:rPr>
        <w:t xml:space="preserve"> (GVBl</w:t>
      </w:r>
      <w:r w:rsidR="00AD4593">
        <w:rPr>
          <w:rFonts w:ascii="Arial" w:eastAsia="Calibri" w:hAnsi="Arial" w:cs="Arial"/>
          <w:sz w:val="24"/>
          <w:szCs w:val="24"/>
          <w:lang w:eastAsia="en-US"/>
        </w:rPr>
        <w:t>.</w:t>
      </w:r>
      <w:r w:rsidRPr="00F6309E">
        <w:rPr>
          <w:rFonts w:ascii="Arial" w:eastAsia="Calibri" w:hAnsi="Arial" w:cs="Arial"/>
          <w:sz w:val="24"/>
          <w:szCs w:val="24"/>
          <w:lang w:eastAsia="en-US"/>
        </w:rPr>
        <w:t xml:space="preserve"> S. 3</w:t>
      </w:r>
      <w:r>
        <w:rPr>
          <w:rFonts w:ascii="Arial" w:eastAsia="Calibri" w:hAnsi="Arial" w:cs="Arial"/>
          <w:sz w:val="24"/>
          <w:szCs w:val="24"/>
          <w:lang w:eastAsia="en-US"/>
        </w:rPr>
        <w:t>82</w:t>
      </w:r>
      <w:r w:rsidRPr="00F6309E">
        <w:rPr>
          <w:rFonts w:ascii="Arial" w:eastAsia="Calibri" w:hAnsi="Arial" w:cs="Arial"/>
          <w:sz w:val="24"/>
          <w:szCs w:val="24"/>
          <w:lang w:eastAsia="en-US"/>
        </w:rPr>
        <w:t>) wurden die Grundgehaltssätze, der Familienzuschlag und die Erhöhungsbeträge zum Familienzuschlag für die unteren Besoldungsgruppen zum 1. August 201</w:t>
      </w:r>
      <w:r w:rsidR="00567EAB">
        <w:rPr>
          <w:rFonts w:ascii="Arial" w:eastAsia="Calibri" w:hAnsi="Arial" w:cs="Arial"/>
          <w:sz w:val="24"/>
          <w:szCs w:val="24"/>
          <w:lang w:eastAsia="en-US"/>
        </w:rPr>
        <w:t>7</w:t>
      </w:r>
      <w:r w:rsidRPr="00F6309E">
        <w:rPr>
          <w:rFonts w:ascii="Arial" w:eastAsia="Calibri" w:hAnsi="Arial" w:cs="Arial"/>
          <w:sz w:val="24"/>
          <w:szCs w:val="24"/>
          <w:lang w:eastAsia="en-US"/>
        </w:rPr>
        <w:t xml:space="preserve"> um </w:t>
      </w:r>
      <w:r w:rsidR="00567EAB">
        <w:rPr>
          <w:rFonts w:ascii="Arial" w:eastAsia="Calibri" w:hAnsi="Arial" w:cs="Arial"/>
          <w:sz w:val="24"/>
          <w:szCs w:val="24"/>
          <w:lang w:eastAsia="en-US"/>
        </w:rPr>
        <w:t>2,8</w:t>
      </w:r>
      <w:r w:rsidRPr="00F6309E">
        <w:rPr>
          <w:rFonts w:ascii="Arial" w:eastAsia="Calibri" w:hAnsi="Arial" w:cs="Arial"/>
          <w:sz w:val="24"/>
          <w:szCs w:val="24"/>
          <w:lang w:eastAsia="en-US"/>
        </w:rPr>
        <w:t xml:space="preserve"> % </w:t>
      </w:r>
      <w:r w:rsidR="00567EAB">
        <w:rPr>
          <w:rFonts w:ascii="Arial" w:eastAsia="Calibri" w:hAnsi="Arial" w:cs="Arial"/>
          <w:sz w:val="24"/>
          <w:szCs w:val="24"/>
          <w:lang w:eastAsia="en-US"/>
        </w:rPr>
        <w:t>und zum 1.</w:t>
      </w:r>
      <w:r w:rsidR="00E17B72">
        <w:rPr>
          <w:rFonts w:ascii="Arial" w:eastAsia="Calibri" w:hAnsi="Arial" w:cs="Arial"/>
          <w:sz w:val="24"/>
          <w:szCs w:val="24"/>
          <w:lang w:eastAsia="en-US"/>
        </w:rPr>
        <w:t> </w:t>
      </w:r>
      <w:r w:rsidR="00567EAB">
        <w:rPr>
          <w:rFonts w:ascii="Arial" w:eastAsia="Calibri" w:hAnsi="Arial" w:cs="Arial"/>
          <w:sz w:val="24"/>
          <w:szCs w:val="24"/>
          <w:lang w:eastAsia="en-US"/>
        </w:rPr>
        <w:t>Juni 2018 um 3,2</w:t>
      </w:r>
      <w:r w:rsidR="001A4790">
        <w:rPr>
          <w:rFonts w:ascii="Arial" w:eastAsia="Calibri" w:hAnsi="Arial" w:cs="Arial"/>
          <w:sz w:val="24"/>
          <w:szCs w:val="24"/>
          <w:lang w:eastAsia="en-US"/>
        </w:rPr>
        <w:t xml:space="preserve"> </w:t>
      </w:r>
      <w:r w:rsidR="00567EAB">
        <w:rPr>
          <w:rFonts w:ascii="Arial" w:eastAsia="Calibri" w:hAnsi="Arial" w:cs="Arial"/>
          <w:sz w:val="24"/>
          <w:szCs w:val="24"/>
          <w:lang w:eastAsia="en-US"/>
        </w:rPr>
        <w:t xml:space="preserve">% </w:t>
      </w:r>
      <w:r w:rsidRPr="00F6309E">
        <w:rPr>
          <w:rFonts w:ascii="Arial" w:eastAsia="Calibri" w:hAnsi="Arial" w:cs="Arial"/>
          <w:sz w:val="24"/>
          <w:szCs w:val="24"/>
          <w:lang w:eastAsia="en-US"/>
        </w:rPr>
        <w:t xml:space="preserve">erhöht. Zugleich bestimmte Art. I § 2 Abs. </w:t>
      </w:r>
      <w:r w:rsidR="00567EAB">
        <w:rPr>
          <w:rFonts w:ascii="Arial" w:eastAsia="Calibri" w:hAnsi="Arial" w:cs="Arial"/>
          <w:sz w:val="24"/>
          <w:szCs w:val="24"/>
          <w:lang w:eastAsia="en-US"/>
        </w:rPr>
        <w:t>7</w:t>
      </w:r>
      <w:r w:rsidRPr="00F6309E">
        <w:rPr>
          <w:rFonts w:ascii="Arial" w:eastAsia="Calibri" w:hAnsi="Arial" w:cs="Arial"/>
          <w:sz w:val="24"/>
          <w:szCs w:val="24"/>
          <w:lang w:eastAsia="en-US"/>
        </w:rPr>
        <w:t xml:space="preserve"> BerlBVAnpG 2016 jedoch, dass die Erhöhung der Bezüge </w:t>
      </w:r>
      <w:r w:rsidR="00B35499">
        <w:rPr>
          <w:rFonts w:ascii="Arial" w:eastAsia="Calibri" w:hAnsi="Arial" w:cs="Arial"/>
          <w:sz w:val="24"/>
          <w:szCs w:val="24"/>
          <w:lang w:eastAsia="en-US"/>
        </w:rPr>
        <w:t xml:space="preserve">zum 1. August 2017 </w:t>
      </w:r>
      <w:r w:rsidRPr="00F6309E">
        <w:rPr>
          <w:rFonts w:ascii="Arial" w:eastAsia="Calibri" w:hAnsi="Arial" w:cs="Arial"/>
          <w:sz w:val="24"/>
          <w:szCs w:val="24"/>
          <w:lang w:eastAsia="en-US"/>
        </w:rPr>
        <w:t xml:space="preserve">nach Maßgabe des § 14a Abs. 2 Satz 1 in Verbindung mit Abs. 1 Satz 2 BBesG in der Überleitungsfassung für Berlin vermindert werde. Das bedeutet, dass die Bezüge </w:t>
      </w:r>
      <w:r w:rsidR="00B35499">
        <w:rPr>
          <w:rFonts w:ascii="Arial" w:eastAsia="Calibri" w:hAnsi="Arial" w:cs="Arial"/>
          <w:sz w:val="24"/>
          <w:szCs w:val="24"/>
          <w:lang w:eastAsia="en-US"/>
        </w:rPr>
        <w:t xml:space="preserve">ab 1. August 2017 </w:t>
      </w:r>
      <w:r w:rsidRPr="00F6309E">
        <w:rPr>
          <w:rFonts w:ascii="Arial" w:eastAsia="Calibri" w:hAnsi="Arial" w:cs="Arial"/>
          <w:sz w:val="24"/>
          <w:szCs w:val="24"/>
          <w:lang w:eastAsia="en-US"/>
        </w:rPr>
        <w:t xml:space="preserve">effektiv statt um </w:t>
      </w:r>
      <w:r w:rsidR="00B35499">
        <w:rPr>
          <w:rFonts w:ascii="Arial" w:eastAsia="Calibri" w:hAnsi="Arial" w:cs="Arial"/>
          <w:sz w:val="24"/>
          <w:szCs w:val="24"/>
          <w:lang w:eastAsia="en-US"/>
        </w:rPr>
        <w:t>2,8</w:t>
      </w:r>
      <w:r w:rsidRPr="00F6309E">
        <w:rPr>
          <w:rFonts w:ascii="Arial" w:eastAsia="Calibri" w:hAnsi="Arial" w:cs="Arial"/>
          <w:sz w:val="24"/>
          <w:szCs w:val="24"/>
          <w:lang w:eastAsia="en-US"/>
        </w:rPr>
        <w:t xml:space="preserve"> % nur um 2,</w:t>
      </w:r>
      <w:r w:rsidR="00B35499">
        <w:rPr>
          <w:rFonts w:ascii="Arial" w:eastAsia="Calibri" w:hAnsi="Arial" w:cs="Arial"/>
          <w:sz w:val="24"/>
          <w:szCs w:val="24"/>
          <w:lang w:eastAsia="en-US"/>
        </w:rPr>
        <w:t>6</w:t>
      </w:r>
      <w:r w:rsidR="00E17B72">
        <w:rPr>
          <w:rFonts w:ascii="Arial" w:eastAsia="Calibri" w:hAnsi="Arial" w:cs="Arial"/>
          <w:sz w:val="24"/>
          <w:szCs w:val="24"/>
          <w:lang w:eastAsia="en-US"/>
        </w:rPr>
        <w:t> </w:t>
      </w:r>
      <w:r w:rsidRPr="00F6309E">
        <w:rPr>
          <w:rFonts w:ascii="Arial" w:eastAsia="Calibri" w:hAnsi="Arial" w:cs="Arial"/>
          <w:sz w:val="24"/>
          <w:szCs w:val="24"/>
          <w:lang w:eastAsia="en-US"/>
        </w:rPr>
        <w:t>% erhöht und die Einsparungen der Versorgungsrücklage zugeführt wurden.</w:t>
      </w:r>
    </w:p>
    <w:p w14:paraId="45052536" w14:textId="77777777" w:rsidR="004953EA" w:rsidRDefault="004953EA" w:rsidP="00503386">
      <w:pPr>
        <w:overflowPunct/>
        <w:spacing w:line="276" w:lineRule="auto"/>
        <w:jc w:val="both"/>
        <w:textAlignment w:val="auto"/>
        <w:rPr>
          <w:rFonts w:ascii="Arial" w:eastAsia="Calibri" w:hAnsi="Arial" w:cs="Arial"/>
          <w:sz w:val="24"/>
          <w:szCs w:val="24"/>
          <w:lang w:eastAsia="en-US"/>
        </w:rPr>
      </w:pPr>
    </w:p>
    <w:p w14:paraId="3E177FD1" w14:textId="6938DC9A" w:rsidR="00154DB5" w:rsidRDefault="004953EA" w:rsidP="00503386">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h)</w:t>
      </w:r>
      <w:r w:rsidRPr="004953EA">
        <w:rPr>
          <w:rFonts w:ascii="Arial" w:eastAsia="Calibri" w:hAnsi="Arial" w:cs="Arial"/>
          <w:sz w:val="24"/>
          <w:szCs w:val="24"/>
          <w:lang w:eastAsia="en-US"/>
        </w:rPr>
        <w:t xml:space="preserve"> </w:t>
      </w:r>
      <w:bookmarkStart w:id="3" w:name="_Hlk88221227"/>
      <w:r w:rsidRPr="004953EA">
        <w:rPr>
          <w:rFonts w:ascii="Arial" w:eastAsia="Calibri" w:hAnsi="Arial" w:cs="Arial"/>
          <w:sz w:val="24"/>
          <w:szCs w:val="24"/>
          <w:lang w:eastAsia="en-US"/>
        </w:rPr>
        <w:t xml:space="preserve">Durch das Gesetz zur Anpassung </w:t>
      </w:r>
      <w:bookmarkEnd w:id="3"/>
      <w:r w:rsidRPr="004953EA">
        <w:rPr>
          <w:rFonts w:ascii="Arial" w:eastAsia="Calibri" w:hAnsi="Arial" w:cs="Arial"/>
          <w:sz w:val="24"/>
          <w:szCs w:val="24"/>
          <w:lang w:eastAsia="en-US"/>
        </w:rPr>
        <w:t>der Besoldung und Versorgung für das Land Berlin 201</w:t>
      </w:r>
      <w:r>
        <w:rPr>
          <w:rFonts w:ascii="Arial" w:eastAsia="Calibri" w:hAnsi="Arial" w:cs="Arial"/>
          <w:sz w:val="24"/>
          <w:szCs w:val="24"/>
          <w:lang w:eastAsia="en-US"/>
        </w:rPr>
        <w:t>9</w:t>
      </w:r>
      <w:r w:rsidRPr="004953EA">
        <w:rPr>
          <w:rFonts w:ascii="Arial" w:eastAsia="Calibri" w:hAnsi="Arial" w:cs="Arial"/>
          <w:sz w:val="24"/>
          <w:szCs w:val="24"/>
          <w:lang w:eastAsia="en-US"/>
        </w:rPr>
        <w:t>/20</w:t>
      </w:r>
      <w:r>
        <w:rPr>
          <w:rFonts w:ascii="Arial" w:eastAsia="Calibri" w:hAnsi="Arial" w:cs="Arial"/>
          <w:sz w:val="24"/>
          <w:szCs w:val="24"/>
          <w:lang w:eastAsia="en-US"/>
        </w:rPr>
        <w:t>20</w:t>
      </w:r>
      <w:r w:rsidRPr="004953EA">
        <w:rPr>
          <w:rFonts w:ascii="Arial" w:eastAsia="Calibri" w:hAnsi="Arial" w:cs="Arial"/>
          <w:sz w:val="24"/>
          <w:szCs w:val="24"/>
          <w:lang w:eastAsia="en-US"/>
        </w:rPr>
        <w:t xml:space="preserve"> und zur Änderung weiterer besoldungsrechtlicher Vorschriften (BerlBVAnpG 201</w:t>
      </w:r>
      <w:r>
        <w:rPr>
          <w:rFonts w:ascii="Arial" w:eastAsia="Calibri" w:hAnsi="Arial" w:cs="Arial"/>
          <w:sz w:val="24"/>
          <w:szCs w:val="24"/>
          <w:lang w:eastAsia="en-US"/>
        </w:rPr>
        <w:t>9</w:t>
      </w:r>
      <w:r w:rsidRPr="004953EA">
        <w:rPr>
          <w:rFonts w:ascii="Arial" w:eastAsia="Calibri" w:hAnsi="Arial" w:cs="Arial"/>
          <w:sz w:val="24"/>
          <w:szCs w:val="24"/>
          <w:lang w:eastAsia="en-US"/>
        </w:rPr>
        <w:t>/</w:t>
      </w:r>
      <w:r>
        <w:rPr>
          <w:rFonts w:ascii="Arial" w:eastAsia="Calibri" w:hAnsi="Arial" w:cs="Arial"/>
          <w:sz w:val="24"/>
          <w:szCs w:val="24"/>
          <w:lang w:eastAsia="en-US"/>
        </w:rPr>
        <w:t>2020</w:t>
      </w:r>
      <w:r w:rsidRPr="004953EA">
        <w:rPr>
          <w:rFonts w:ascii="Arial" w:eastAsia="Calibri" w:hAnsi="Arial" w:cs="Arial"/>
          <w:sz w:val="24"/>
          <w:szCs w:val="24"/>
          <w:lang w:eastAsia="en-US"/>
        </w:rPr>
        <w:t xml:space="preserve">) vom </w:t>
      </w:r>
      <w:r>
        <w:rPr>
          <w:rFonts w:ascii="Arial" w:eastAsia="Calibri" w:hAnsi="Arial" w:cs="Arial"/>
          <w:sz w:val="24"/>
          <w:szCs w:val="24"/>
          <w:lang w:eastAsia="en-US"/>
        </w:rPr>
        <w:t>5</w:t>
      </w:r>
      <w:r w:rsidRPr="004953EA">
        <w:rPr>
          <w:rFonts w:ascii="Arial" w:eastAsia="Calibri" w:hAnsi="Arial" w:cs="Arial"/>
          <w:sz w:val="24"/>
          <w:szCs w:val="24"/>
          <w:lang w:eastAsia="en-US"/>
        </w:rPr>
        <w:t xml:space="preserve">. </w:t>
      </w:r>
      <w:r>
        <w:rPr>
          <w:rFonts w:ascii="Arial" w:eastAsia="Calibri" w:hAnsi="Arial" w:cs="Arial"/>
          <w:sz w:val="24"/>
          <w:szCs w:val="24"/>
          <w:lang w:eastAsia="en-US"/>
        </w:rPr>
        <w:t>September</w:t>
      </w:r>
      <w:r w:rsidRPr="004953EA">
        <w:rPr>
          <w:rFonts w:ascii="Arial" w:eastAsia="Calibri" w:hAnsi="Arial" w:cs="Arial"/>
          <w:sz w:val="24"/>
          <w:szCs w:val="24"/>
          <w:lang w:eastAsia="en-US"/>
        </w:rPr>
        <w:t xml:space="preserve"> 201</w:t>
      </w:r>
      <w:r>
        <w:rPr>
          <w:rFonts w:ascii="Arial" w:eastAsia="Calibri" w:hAnsi="Arial" w:cs="Arial"/>
          <w:sz w:val="24"/>
          <w:szCs w:val="24"/>
          <w:lang w:eastAsia="en-US"/>
        </w:rPr>
        <w:t>9</w:t>
      </w:r>
      <w:r w:rsidRPr="004953EA">
        <w:rPr>
          <w:rFonts w:ascii="Arial" w:eastAsia="Calibri" w:hAnsi="Arial" w:cs="Arial"/>
          <w:sz w:val="24"/>
          <w:szCs w:val="24"/>
          <w:lang w:eastAsia="en-US"/>
        </w:rPr>
        <w:t xml:space="preserve"> (GVBl</w:t>
      </w:r>
      <w:r w:rsidR="00AD4593">
        <w:rPr>
          <w:rFonts w:ascii="Arial" w:eastAsia="Calibri" w:hAnsi="Arial" w:cs="Arial"/>
          <w:sz w:val="24"/>
          <w:szCs w:val="24"/>
          <w:lang w:eastAsia="en-US"/>
        </w:rPr>
        <w:t>.</w:t>
      </w:r>
      <w:r w:rsidRPr="004953EA">
        <w:rPr>
          <w:rFonts w:ascii="Arial" w:eastAsia="Calibri" w:hAnsi="Arial" w:cs="Arial"/>
          <w:sz w:val="24"/>
          <w:szCs w:val="24"/>
          <w:lang w:eastAsia="en-US"/>
        </w:rPr>
        <w:t xml:space="preserve"> S. </w:t>
      </w:r>
      <w:r>
        <w:rPr>
          <w:rFonts w:ascii="Arial" w:eastAsia="Calibri" w:hAnsi="Arial" w:cs="Arial"/>
          <w:sz w:val="24"/>
          <w:szCs w:val="24"/>
          <w:lang w:eastAsia="en-US"/>
        </w:rPr>
        <w:t>551</w:t>
      </w:r>
      <w:r w:rsidRPr="004953EA">
        <w:rPr>
          <w:rFonts w:ascii="Arial" w:eastAsia="Calibri" w:hAnsi="Arial" w:cs="Arial"/>
          <w:sz w:val="24"/>
          <w:szCs w:val="24"/>
          <w:lang w:eastAsia="en-US"/>
        </w:rPr>
        <w:t xml:space="preserve">) wurden die Grundgehaltssätze, der Familienzuschlag und die Erhöhungsbeträge zum Familienzuschlag für die unteren Besoldungsgruppen zum 1. </w:t>
      </w:r>
      <w:r>
        <w:rPr>
          <w:rFonts w:ascii="Arial" w:eastAsia="Calibri" w:hAnsi="Arial" w:cs="Arial"/>
          <w:sz w:val="24"/>
          <w:szCs w:val="24"/>
          <w:lang w:eastAsia="en-US"/>
        </w:rPr>
        <w:t>April</w:t>
      </w:r>
      <w:r w:rsidRPr="004953EA">
        <w:rPr>
          <w:rFonts w:ascii="Arial" w:eastAsia="Calibri" w:hAnsi="Arial" w:cs="Arial"/>
          <w:sz w:val="24"/>
          <w:szCs w:val="24"/>
          <w:lang w:eastAsia="en-US"/>
        </w:rPr>
        <w:t xml:space="preserve"> 201</w:t>
      </w:r>
      <w:r>
        <w:rPr>
          <w:rFonts w:ascii="Arial" w:eastAsia="Calibri" w:hAnsi="Arial" w:cs="Arial"/>
          <w:sz w:val="24"/>
          <w:szCs w:val="24"/>
          <w:lang w:eastAsia="en-US"/>
        </w:rPr>
        <w:t>9</w:t>
      </w:r>
      <w:r w:rsidRPr="004953EA">
        <w:rPr>
          <w:rFonts w:ascii="Arial" w:eastAsia="Calibri" w:hAnsi="Arial" w:cs="Arial"/>
          <w:sz w:val="24"/>
          <w:szCs w:val="24"/>
          <w:lang w:eastAsia="en-US"/>
        </w:rPr>
        <w:t xml:space="preserve"> </w:t>
      </w:r>
      <w:r>
        <w:rPr>
          <w:rFonts w:ascii="Arial" w:eastAsia="Calibri" w:hAnsi="Arial" w:cs="Arial"/>
          <w:sz w:val="24"/>
          <w:szCs w:val="24"/>
          <w:lang w:eastAsia="en-US"/>
        </w:rPr>
        <w:t xml:space="preserve">und zum 1. Februar 2020 </w:t>
      </w:r>
      <w:r w:rsidRPr="004953EA">
        <w:rPr>
          <w:rFonts w:ascii="Arial" w:eastAsia="Calibri" w:hAnsi="Arial" w:cs="Arial"/>
          <w:sz w:val="24"/>
          <w:szCs w:val="24"/>
          <w:lang w:eastAsia="en-US"/>
        </w:rPr>
        <w:t xml:space="preserve">um </w:t>
      </w:r>
      <w:r>
        <w:rPr>
          <w:rFonts w:ascii="Arial" w:eastAsia="Calibri" w:hAnsi="Arial" w:cs="Arial"/>
          <w:sz w:val="24"/>
          <w:szCs w:val="24"/>
          <w:lang w:eastAsia="en-US"/>
        </w:rPr>
        <w:t>je 4,3</w:t>
      </w:r>
      <w:r w:rsidRPr="004953EA">
        <w:rPr>
          <w:rFonts w:ascii="Arial" w:eastAsia="Calibri" w:hAnsi="Arial" w:cs="Arial"/>
          <w:sz w:val="24"/>
          <w:szCs w:val="24"/>
          <w:lang w:eastAsia="en-US"/>
        </w:rPr>
        <w:t xml:space="preserve"> % erhöht. </w:t>
      </w:r>
    </w:p>
    <w:p w14:paraId="4B89E9FC" w14:textId="77777777" w:rsidR="00DF3B26" w:rsidRDefault="00DF3B26" w:rsidP="00503386">
      <w:pPr>
        <w:overflowPunct/>
        <w:spacing w:line="276" w:lineRule="auto"/>
        <w:jc w:val="both"/>
        <w:textAlignment w:val="auto"/>
        <w:rPr>
          <w:rFonts w:ascii="Arial" w:eastAsia="Calibri" w:hAnsi="Arial" w:cs="Arial"/>
          <w:sz w:val="24"/>
          <w:szCs w:val="24"/>
          <w:lang w:eastAsia="en-US"/>
        </w:rPr>
      </w:pPr>
    </w:p>
    <w:p w14:paraId="2139C7E2" w14:textId="3C02EA7E" w:rsidR="00F1690C" w:rsidRDefault="00C0774C" w:rsidP="00503386">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i</w:t>
      </w:r>
      <w:r w:rsidR="00F1690C">
        <w:rPr>
          <w:rFonts w:ascii="Arial" w:eastAsia="Calibri" w:hAnsi="Arial" w:cs="Arial"/>
          <w:sz w:val="24"/>
          <w:szCs w:val="24"/>
          <w:lang w:eastAsia="en-US"/>
        </w:rPr>
        <w:t xml:space="preserve">) </w:t>
      </w:r>
      <w:r w:rsidR="00E63A8C">
        <w:rPr>
          <w:rFonts w:ascii="Arial" w:eastAsia="Calibri" w:hAnsi="Arial" w:cs="Arial"/>
          <w:sz w:val="24"/>
          <w:szCs w:val="24"/>
          <w:lang w:eastAsia="en-US"/>
        </w:rPr>
        <w:t xml:space="preserve">Zur Umsetzung der Vorgaben aus dem </w:t>
      </w:r>
      <w:r w:rsidR="003F40B1">
        <w:rPr>
          <w:rFonts w:ascii="Arial" w:eastAsia="Calibri" w:hAnsi="Arial" w:cs="Arial"/>
          <w:sz w:val="24"/>
          <w:szCs w:val="24"/>
          <w:lang w:eastAsia="en-US"/>
        </w:rPr>
        <w:t xml:space="preserve">Beschluss </w:t>
      </w:r>
      <w:r w:rsidR="00E63A8C">
        <w:rPr>
          <w:rFonts w:ascii="Arial" w:eastAsia="Calibri" w:hAnsi="Arial" w:cs="Arial"/>
          <w:sz w:val="24"/>
          <w:szCs w:val="24"/>
          <w:lang w:eastAsia="en-US"/>
        </w:rPr>
        <w:t>des Bundesverfassungsgerichts vom 4.</w:t>
      </w:r>
      <w:r w:rsidR="00EA47D0">
        <w:rPr>
          <w:rFonts w:ascii="Arial" w:eastAsia="Calibri" w:hAnsi="Arial" w:cs="Arial"/>
          <w:sz w:val="24"/>
          <w:szCs w:val="24"/>
          <w:lang w:eastAsia="en-US"/>
        </w:rPr>
        <w:t> </w:t>
      </w:r>
      <w:r w:rsidR="00E63A8C">
        <w:rPr>
          <w:rFonts w:ascii="Arial" w:eastAsia="Calibri" w:hAnsi="Arial" w:cs="Arial"/>
          <w:sz w:val="24"/>
          <w:szCs w:val="24"/>
          <w:lang w:eastAsia="en-US"/>
        </w:rPr>
        <w:t xml:space="preserve">Mai 2020 </w:t>
      </w:r>
      <w:bookmarkStart w:id="4" w:name="_Hlk95219819"/>
      <w:r w:rsidR="00E63A8C">
        <w:rPr>
          <w:rFonts w:ascii="Arial" w:eastAsia="Calibri" w:hAnsi="Arial" w:cs="Arial"/>
          <w:sz w:val="24"/>
          <w:szCs w:val="24"/>
          <w:lang w:eastAsia="en-US"/>
        </w:rPr>
        <w:t>(2 BvL 4/18)</w:t>
      </w:r>
      <w:bookmarkEnd w:id="4"/>
      <w:r w:rsidR="00E63A8C">
        <w:rPr>
          <w:rFonts w:ascii="Arial" w:eastAsia="Calibri" w:hAnsi="Arial" w:cs="Arial"/>
          <w:sz w:val="24"/>
          <w:szCs w:val="24"/>
          <w:lang w:eastAsia="en-US"/>
        </w:rPr>
        <w:t xml:space="preserve"> wurde die </w:t>
      </w:r>
      <w:r w:rsidR="00E13C29">
        <w:rPr>
          <w:rFonts w:ascii="Arial" w:eastAsia="Calibri" w:hAnsi="Arial" w:cs="Arial"/>
          <w:sz w:val="24"/>
          <w:szCs w:val="24"/>
          <w:lang w:eastAsia="en-US"/>
        </w:rPr>
        <w:t>R-</w:t>
      </w:r>
      <w:r w:rsidR="00E63A8C">
        <w:rPr>
          <w:rFonts w:ascii="Arial" w:eastAsia="Calibri" w:hAnsi="Arial" w:cs="Arial"/>
          <w:sz w:val="24"/>
          <w:szCs w:val="24"/>
          <w:lang w:eastAsia="en-US"/>
        </w:rPr>
        <w:t>Besoldung d</w:t>
      </w:r>
      <w:r w:rsidRPr="00C0774C">
        <w:rPr>
          <w:rFonts w:ascii="Arial" w:eastAsia="Calibri" w:hAnsi="Arial" w:cs="Arial"/>
          <w:sz w:val="24"/>
          <w:szCs w:val="24"/>
          <w:lang w:eastAsia="en-US"/>
        </w:rPr>
        <w:t>urch das Gesetz über die rückwirkende Herstellung verfassungskonformer Regelungen</w:t>
      </w:r>
      <w:r>
        <w:rPr>
          <w:rFonts w:ascii="Arial" w:eastAsia="Calibri" w:hAnsi="Arial" w:cs="Arial"/>
          <w:sz w:val="24"/>
          <w:szCs w:val="24"/>
          <w:lang w:eastAsia="en-US"/>
        </w:rPr>
        <w:t xml:space="preserve"> </w:t>
      </w:r>
      <w:r w:rsidRPr="00C0774C">
        <w:rPr>
          <w:rFonts w:ascii="Arial" w:eastAsia="Calibri" w:hAnsi="Arial" w:cs="Arial"/>
          <w:sz w:val="24"/>
          <w:szCs w:val="24"/>
          <w:lang w:eastAsia="en-US"/>
        </w:rPr>
        <w:t>hinsichtlich der Besoldung in den Besoldungsgruppen R 1 und R 2</w:t>
      </w:r>
      <w:r>
        <w:rPr>
          <w:rFonts w:ascii="Arial" w:eastAsia="Calibri" w:hAnsi="Arial" w:cs="Arial"/>
          <w:sz w:val="24"/>
          <w:szCs w:val="24"/>
          <w:lang w:eastAsia="en-US"/>
        </w:rPr>
        <w:t xml:space="preserve"> </w:t>
      </w:r>
      <w:r w:rsidRPr="00C0774C">
        <w:rPr>
          <w:rFonts w:ascii="Arial" w:eastAsia="Calibri" w:hAnsi="Arial" w:cs="Arial"/>
          <w:sz w:val="24"/>
          <w:szCs w:val="24"/>
          <w:lang w:eastAsia="en-US"/>
        </w:rPr>
        <w:t>in den Jahren 2009 bis 2015 und der Besoldungsgruppe R 3 im Jahr 2015</w:t>
      </w:r>
      <w:r>
        <w:rPr>
          <w:rFonts w:ascii="Arial" w:eastAsia="Calibri" w:hAnsi="Arial" w:cs="Arial"/>
          <w:sz w:val="24"/>
          <w:szCs w:val="24"/>
          <w:lang w:eastAsia="en-US"/>
        </w:rPr>
        <w:t xml:space="preserve"> (RBes2009/15RepG) </w:t>
      </w:r>
      <w:r w:rsidR="001003ED">
        <w:rPr>
          <w:rFonts w:ascii="Arial" w:eastAsia="Calibri" w:hAnsi="Arial" w:cs="Arial"/>
          <w:sz w:val="24"/>
          <w:szCs w:val="24"/>
          <w:lang w:eastAsia="en-US"/>
        </w:rPr>
        <w:t>v</w:t>
      </w:r>
      <w:r w:rsidRPr="00C0774C">
        <w:rPr>
          <w:rFonts w:ascii="Arial" w:eastAsia="Calibri" w:hAnsi="Arial" w:cs="Arial"/>
          <w:sz w:val="24"/>
          <w:szCs w:val="24"/>
          <w:lang w:eastAsia="en-US"/>
        </w:rPr>
        <w:t>om 23. Juni 2021</w:t>
      </w:r>
      <w:r w:rsidR="00E63A8C">
        <w:rPr>
          <w:rFonts w:ascii="Arial" w:eastAsia="Calibri" w:hAnsi="Arial" w:cs="Arial"/>
          <w:sz w:val="24"/>
          <w:szCs w:val="24"/>
          <w:lang w:eastAsia="en-US"/>
        </w:rPr>
        <w:t xml:space="preserve"> </w:t>
      </w:r>
      <w:r w:rsidR="003F40B1">
        <w:rPr>
          <w:rFonts w:ascii="Arial" w:eastAsia="Calibri" w:hAnsi="Arial" w:cs="Arial"/>
          <w:sz w:val="24"/>
          <w:szCs w:val="24"/>
          <w:lang w:eastAsia="en-US"/>
        </w:rPr>
        <w:t>(</w:t>
      </w:r>
      <w:r w:rsidR="00E63A8C">
        <w:rPr>
          <w:rFonts w:ascii="Arial" w:eastAsia="Calibri" w:hAnsi="Arial" w:cs="Arial"/>
          <w:sz w:val="24"/>
          <w:szCs w:val="24"/>
          <w:lang w:eastAsia="en-US"/>
        </w:rPr>
        <w:t>GVBl. 678) rückwirkend erhöht, und zwar für die Besoldungsgruppe</w:t>
      </w:r>
      <w:r w:rsidR="00DA1A66">
        <w:rPr>
          <w:rFonts w:ascii="Arial" w:eastAsia="Calibri" w:hAnsi="Arial" w:cs="Arial"/>
          <w:sz w:val="24"/>
          <w:szCs w:val="24"/>
          <w:lang w:eastAsia="en-US"/>
        </w:rPr>
        <w:t>n</w:t>
      </w:r>
      <w:r w:rsidR="00E63A8C">
        <w:rPr>
          <w:rFonts w:ascii="Arial" w:eastAsia="Calibri" w:hAnsi="Arial" w:cs="Arial"/>
          <w:sz w:val="24"/>
          <w:szCs w:val="24"/>
          <w:lang w:eastAsia="en-US"/>
        </w:rPr>
        <w:t xml:space="preserve"> R1 </w:t>
      </w:r>
      <w:r w:rsidR="00DA1A66">
        <w:rPr>
          <w:rFonts w:ascii="Arial" w:eastAsia="Calibri" w:hAnsi="Arial" w:cs="Arial"/>
          <w:sz w:val="24"/>
          <w:szCs w:val="24"/>
          <w:lang w:eastAsia="en-US"/>
        </w:rPr>
        <w:t>und R 2 für die Jahre 2009 bis 2015 und für die Besoldungsgruppe R3 für 2015. Eine Anpassung für die hier streitgegenständlichen Jahre erfolgte nicht.</w:t>
      </w:r>
    </w:p>
    <w:p w14:paraId="1D8CD003" w14:textId="3E14BFA2" w:rsidR="00154DB5" w:rsidRDefault="00154DB5" w:rsidP="00503386">
      <w:pPr>
        <w:overflowPunct/>
        <w:spacing w:line="276" w:lineRule="auto"/>
        <w:jc w:val="both"/>
        <w:textAlignment w:val="auto"/>
        <w:rPr>
          <w:rFonts w:ascii="Arial" w:eastAsia="Calibri" w:hAnsi="Arial" w:cs="Arial"/>
          <w:sz w:val="24"/>
          <w:szCs w:val="24"/>
          <w:lang w:eastAsia="en-US"/>
        </w:rPr>
      </w:pPr>
    </w:p>
    <w:p w14:paraId="6F0A2C0E" w14:textId="334A2F7E" w:rsidR="00751AE2" w:rsidRDefault="00C0774C" w:rsidP="00503386">
      <w:pPr>
        <w:overflowPunct/>
        <w:spacing w:line="276" w:lineRule="auto"/>
        <w:jc w:val="both"/>
        <w:textAlignment w:val="auto"/>
        <w:rPr>
          <w:rFonts w:ascii="Arial" w:eastAsia="Calibri" w:hAnsi="Arial" w:cs="Arial"/>
          <w:sz w:val="24"/>
          <w:szCs w:val="24"/>
          <w:lang w:eastAsia="en-US"/>
        </w:rPr>
      </w:pPr>
      <w:bookmarkStart w:id="5" w:name="_Hlk88225412"/>
      <w:r>
        <w:rPr>
          <w:rFonts w:ascii="Arial" w:eastAsia="Calibri" w:hAnsi="Arial" w:cs="Arial"/>
          <w:sz w:val="24"/>
          <w:szCs w:val="24"/>
          <w:lang w:eastAsia="en-US"/>
        </w:rPr>
        <w:t>j</w:t>
      </w:r>
      <w:r w:rsidR="00154DB5">
        <w:rPr>
          <w:rFonts w:ascii="Arial" w:eastAsia="Calibri" w:hAnsi="Arial" w:cs="Arial"/>
          <w:sz w:val="24"/>
          <w:szCs w:val="24"/>
          <w:lang w:eastAsia="en-US"/>
        </w:rPr>
        <w:t xml:space="preserve">) </w:t>
      </w:r>
      <w:r w:rsidR="00154DB5" w:rsidRPr="00154DB5">
        <w:rPr>
          <w:rFonts w:ascii="Arial" w:eastAsia="Calibri" w:hAnsi="Arial" w:cs="Arial"/>
          <w:sz w:val="24"/>
          <w:szCs w:val="24"/>
          <w:lang w:eastAsia="en-US"/>
        </w:rPr>
        <w:t>Das Recht der Sonderzahlung entwickelte sich wie folgt: Nach dem bis zum Jahr 2002 auch für die Richter und Staatsanwälte des Landes Berlin maßgeblichen Sonderzuwendungsgesetz des Bundes belief sich die Sonderzuwendung auf einen bestimmten Prozentsatz der monatlichen Bezüge. Das Gesetz über die Gewährung einer jährlichen Sonderzahlung (SZG) vom 5. November 2003 (GVBl</w:t>
      </w:r>
      <w:r w:rsidR="003F40B1">
        <w:rPr>
          <w:rFonts w:ascii="Arial" w:eastAsia="Calibri" w:hAnsi="Arial" w:cs="Arial"/>
          <w:sz w:val="24"/>
          <w:szCs w:val="24"/>
          <w:lang w:eastAsia="en-US"/>
        </w:rPr>
        <w:t>.</w:t>
      </w:r>
      <w:r w:rsidR="00154DB5" w:rsidRPr="00154DB5">
        <w:rPr>
          <w:rFonts w:ascii="Arial" w:eastAsia="Calibri" w:hAnsi="Arial" w:cs="Arial"/>
          <w:sz w:val="24"/>
          <w:szCs w:val="24"/>
          <w:lang w:eastAsia="en-US"/>
        </w:rPr>
        <w:t xml:space="preserve"> S. 538) reduzierte diese auf einheitlich 640 </w:t>
      </w:r>
      <w:r w:rsidR="00996C9D">
        <w:rPr>
          <w:rFonts w:ascii="Arial" w:eastAsia="Calibri" w:hAnsi="Arial" w:cs="Arial"/>
          <w:sz w:val="24"/>
          <w:szCs w:val="24"/>
          <w:lang w:eastAsia="en-US"/>
        </w:rPr>
        <w:t>€</w:t>
      </w:r>
      <w:r w:rsidR="00154DB5" w:rsidRPr="00154DB5">
        <w:rPr>
          <w:rFonts w:ascii="Arial" w:eastAsia="Calibri" w:hAnsi="Arial" w:cs="Arial"/>
          <w:sz w:val="24"/>
          <w:szCs w:val="24"/>
          <w:lang w:eastAsia="en-US"/>
        </w:rPr>
        <w:t xml:space="preserve"> (§ 5 Abs. 1 SZG). Mit dem Ersten Gesetz zur Änderung des Sonderzahlungsgesetzes vom 1. Oktober 2008 (GVBl</w:t>
      </w:r>
      <w:r w:rsidR="003F40B1">
        <w:rPr>
          <w:rFonts w:ascii="Arial" w:eastAsia="Calibri" w:hAnsi="Arial" w:cs="Arial"/>
          <w:sz w:val="24"/>
          <w:szCs w:val="24"/>
          <w:lang w:eastAsia="en-US"/>
        </w:rPr>
        <w:t>.</w:t>
      </w:r>
      <w:r w:rsidR="00154DB5" w:rsidRPr="00154DB5">
        <w:rPr>
          <w:rFonts w:ascii="Arial" w:eastAsia="Calibri" w:hAnsi="Arial" w:cs="Arial"/>
          <w:sz w:val="24"/>
          <w:szCs w:val="24"/>
          <w:lang w:eastAsia="en-US"/>
        </w:rPr>
        <w:t xml:space="preserve"> S. 271) wurde die Sonderzahlung </w:t>
      </w:r>
      <w:r w:rsidR="00E13C29">
        <w:rPr>
          <w:rFonts w:ascii="Arial" w:eastAsia="Calibri" w:hAnsi="Arial" w:cs="Arial"/>
          <w:sz w:val="24"/>
          <w:szCs w:val="24"/>
          <w:lang w:eastAsia="en-US"/>
        </w:rPr>
        <w:t xml:space="preserve">vorübergehend </w:t>
      </w:r>
      <w:r w:rsidR="00154DB5" w:rsidRPr="00154DB5">
        <w:rPr>
          <w:rFonts w:ascii="Arial" w:eastAsia="Calibri" w:hAnsi="Arial" w:cs="Arial"/>
          <w:sz w:val="24"/>
          <w:szCs w:val="24"/>
          <w:lang w:eastAsia="en-US"/>
        </w:rPr>
        <w:t xml:space="preserve">für die Kalenderjahre 2008 und 2009 auf jeweils 940 </w:t>
      </w:r>
      <w:r w:rsidR="00996C9D">
        <w:rPr>
          <w:rFonts w:ascii="Arial" w:eastAsia="Calibri" w:hAnsi="Arial" w:cs="Arial"/>
          <w:sz w:val="24"/>
          <w:szCs w:val="24"/>
          <w:lang w:eastAsia="en-US"/>
        </w:rPr>
        <w:t>€</w:t>
      </w:r>
      <w:r w:rsidR="00154DB5" w:rsidRPr="00154DB5">
        <w:rPr>
          <w:rFonts w:ascii="Arial" w:eastAsia="Calibri" w:hAnsi="Arial" w:cs="Arial"/>
          <w:sz w:val="24"/>
          <w:szCs w:val="24"/>
          <w:lang w:eastAsia="en-US"/>
        </w:rPr>
        <w:t xml:space="preserve"> angehoben (§ 5 Abs. 1 Satz 2 SZG). In den Jahren 2010 bis 201</w:t>
      </w:r>
      <w:r w:rsidR="00773C2F">
        <w:rPr>
          <w:rFonts w:ascii="Arial" w:eastAsia="Calibri" w:hAnsi="Arial" w:cs="Arial"/>
          <w:sz w:val="24"/>
          <w:szCs w:val="24"/>
          <w:lang w:eastAsia="en-US"/>
        </w:rPr>
        <w:t>6</w:t>
      </w:r>
      <w:r w:rsidR="00154DB5" w:rsidRPr="00154DB5">
        <w:rPr>
          <w:rFonts w:ascii="Arial" w:eastAsia="Calibri" w:hAnsi="Arial" w:cs="Arial"/>
          <w:sz w:val="24"/>
          <w:szCs w:val="24"/>
          <w:lang w:eastAsia="en-US"/>
        </w:rPr>
        <w:t xml:space="preserve"> betrug sie wie </w:t>
      </w:r>
      <w:r w:rsidR="00154DB5" w:rsidRPr="00751AE2">
        <w:rPr>
          <w:rFonts w:ascii="Arial" w:eastAsia="Calibri" w:hAnsi="Arial" w:cs="Arial"/>
          <w:sz w:val="24"/>
          <w:szCs w:val="24"/>
          <w:lang w:eastAsia="en-US"/>
        </w:rPr>
        <w:t xml:space="preserve">zuvor 640 </w:t>
      </w:r>
      <w:r w:rsidR="00996C9D">
        <w:rPr>
          <w:rFonts w:ascii="Arial" w:eastAsia="Calibri" w:hAnsi="Arial" w:cs="Arial"/>
          <w:sz w:val="24"/>
          <w:szCs w:val="24"/>
          <w:lang w:eastAsia="en-US"/>
        </w:rPr>
        <w:t>€</w:t>
      </w:r>
      <w:r w:rsidR="00154DB5" w:rsidRPr="00751AE2">
        <w:rPr>
          <w:rFonts w:ascii="Arial" w:eastAsia="Calibri" w:hAnsi="Arial" w:cs="Arial"/>
          <w:sz w:val="24"/>
          <w:szCs w:val="24"/>
          <w:lang w:eastAsia="en-US"/>
        </w:rPr>
        <w:t xml:space="preserve">. </w:t>
      </w:r>
      <w:r w:rsidR="00751AE2" w:rsidRPr="00751AE2">
        <w:rPr>
          <w:rFonts w:ascii="Arial" w:eastAsia="Calibri" w:hAnsi="Arial" w:cs="Arial"/>
          <w:sz w:val="24"/>
          <w:szCs w:val="24"/>
          <w:lang w:eastAsia="en-US"/>
        </w:rPr>
        <w:t>Mit dem Gesetz zur Anpassung der Besoldung und Versorgung für das Land Berlin 2017/2018, zur Änderung des Sonderzahlungsgesetzes und zur Änderung weiterer besoldungsrechtlicher Vorschriften vom 20. Juli 2017 (</w:t>
      </w:r>
      <w:r w:rsidR="00D92E6C" w:rsidRPr="00751AE2">
        <w:rPr>
          <w:rFonts w:ascii="Arial" w:eastAsia="Calibri" w:hAnsi="Arial" w:cs="Arial"/>
          <w:sz w:val="24"/>
          <w:szCs w:val="24"/>
          <w:lang w:eastAsia="en-US"/>
        </w:rPr>
        <w:t>GVBl</w:t>
      </w:r>
      <w:r w:rsidR="003F40B1">
        <w:rPr>
          <w:rFonts w:ascii="Arial" w:eastAsia="Calibri" w:hAnsi="Arial" w:cs="Arial"/>
          <w:sz w:val="24"/>
          <w:szCs w:val="24"/>
          <w:lang w:eastAsia="en-US"/>
        </w:rPr>
        <w:t>.</w:t>
      </w:r>
      <w:r w:rsidR="00751AE2" w:rsidRPr="00751AE2">
        <w:rPr>
          <w:rFonts w:ascii="Arial" w:eastAsia="Calibri" w:hAnsi="Arial" w:cs="Arial"/>
          <w:sz w:val="24"/>
          <w:szCs w:val="24"/>
          <w:lang w:eastAsia="en-US"/>
        </w:rPr>
        <w:t xml:space="preserve"> S. 382) wurde die Sonderzahlung </w:t>
      </w:r>
      <w:r w:rsidR="00751AE2">
        <w:rPr>
          <w:rFonts w:ascii="Arial" w:eastAsia="Calibri" w:hAnsi="Arial" w:cs="Arial"/>
          <w:sz w:val="24"/>
          <w:szCs w:val="24"/>
          <w:lang w:eastAsia="en-US"/>
        </w:rPr>
        <w:t xml:space="preserve">für das Jahr 2017 </w:t>
      </w:r>
      <w:r w:rsidR="00751AE2" w:rsidRPr="00751AE2">
        <w:rPr>
          <w:rFonts w:ascii="Arial" w:eastAsia="Calibri" w:hAnsi="Arial" w:cs="Arial"/>
          <w:sz w:val="24"/>
          <w:szCs w:val="24"/>
          <w:lang w:eastAsia="en-US"/>
        </w:rPr>
        <w:t xml:space="preserve">auf 800 </w:t>
      </w:r>
      <w:r w:rsidR="00996C9D">
        <w:rPr>
          <w:rFonts w:ascii="Arial" w:eastAsia="Calibri" w:hAnsi="Arial" w:cs="Arial"/>
          <w:sz w:val="24"/>
          <w:szCs w:val="24"/>
          <w:lang w:eastAsia="en-US"/>
        </w:rPr>
        <w:t>€</w:t>
      </w:r>
      <w:r w:rsidR="00751AE2" w:rsidRPr="00751AE2">
        <w:rPr>
          <w:rFonts w:ascii="Arial" w:eastAsia="Calibri" w:hAnsi="Arial" w:cs="Arial"/>
          <w:sz w:val="24"/>
          <w:szCs w:val="24"/>
          <w:lang w:eastAsia="en-US"/>
        </w:rPr>
        <w:t xml:space="preserve"> angehoben</w:t>
      </w:r>
      <w:r w:rsidR="00D92E6C" w:rsidRPr="00D92E6C">
        <w:rPr>
          <w:rFonts w:ascii="Arial" w:eastAsia="Calibri" w:hAnsi="Arial" w:cs="Arial"/>
          <w:sz w:val="24"/>
          <w:szCs w:val="24"/>
          <w:lang w:eastAsia="en-US"/>
        </w:rPr>
        <w:t xml:space="preserve">. Mit dem </w:t>
      </w:r>
      <w:r w:rsidR="00D92E6C">
        <w:rPr>
          <w:rFonts w:ascii="Arial" w:eastAsia="Calibri" w:hAnsi="Arial" w:cs="Arial"/>
          <w:sz w:val="24"/>
          <w:szCs w:val="24"/>
          <w:lang w:eastAsia="en-US"/>
        </w:rPr>
        <w:t>Zweiten</w:t>
      </w:r>
      <w:r w:rsidR="00D92E6C" w:rsidRPr="00D92E6C">
        <w:rPr>
          <w:rFonts w:ascii="Arial" w:eastAsia="Calibri" w:hAnsi="Arial" w:cs="Arial"/>
          <w:sz w:val="24"/>
          <w:szCs w:val="24"/>
          <w:lang w:eastAsia="en-US"/>
        </w:rPr>
        <w:t xml:space="preserve"> Gesetz zur Änderung des Sonderzahlungsgesetzes vom 1</w:t>
      </w:r>
      <w:r w:rsidR="00D92E6C">
        <w:rPr>
          <w:rFonts w:ascii="Arial" w:eastAsia="Calibri" w:hAnsi="Arial" w:cs="Arial"/>
          <w:sz w:val="24"/>
          <w:szCs w:val="24"/>
          <w:lang w:eastAsia="en-US"/>
        </w:rPr>
        <w:t>8</w:t>
      </w:r>
      <w:r w:rsidR="00D92E6C" w:rsidRPr="00D92E6C">
        <w:rPr>
          <w:rFonts w:ascii="Arial" w:eastAsia="Calibri" w:hAnsi="Arial" w:cs="Arial"/>
          <w:sz w:val="24"/>
          <w:szCs w:val="24"/>
          <w:lang w:eastAsia="en-US"/>
        </w:rPr>
        <w:t xml:space="preserve">. </w:t>
      </w:r>
      <w:r w:rsidR="00D92E6C">
        <w:rPr>
          <w:rFonts w:ascii="Arial" w:eastAsia="Calibri" w:hAnsi="Arial" w:cs="Arial"/>
          <w:sz w:val="24"/>
          <w:szCs w:val="24"/>
          <w:lang w:eastAsia="en-US"/>
        </w:rPr>
        <w:t>Dezember</w:t>
      </w:r>
      <w:r w:rsidR="00D92E6C" w:rsidRPr="00D92E6C">
        <w:rPr>
          <w:rFonts w:ascii="Arial" w:eastAsia="Calibri" w:hAnsi="Arial" w:cs="Arial"/>
          <w:sz w:val="24"/>
          <w:szCs w:val="24"/>
          <w:lang w:eastAsia="en-US"/>
        </w:rPr>
        <w:t xml:space="preserve"> 20</w:t>
      </w:r>
      <w:r w:rsidR="00D92E6C">
        <w:rPr>
          <w:rFonts w:ascii="Arial" w:eastAsia="Calibri" w:hAnsi="Arial" w:cs="Arial"/>
          <w:sz w:val="24"/>
          <w:szCs w:val="24"/>
          <w:lang w:eastAsia="en-US"/>
        </w:rPr>
        <w:t>1</w:t>
      </w:r>
      <w:r w:rsidR="00D92E6C" w:rsidRPr="00D92E6C">
        <w:rPr>
          <w:rFonts w:ascii="Arial" w:eastAsia="Calibri" w:hAnsi="Arial" w:cs="Arial"/>
          <w:sz w:val="24"/>
          <w:szCs w:val="24"/>
          <w:lang w:eastAsia="en-US"/>
        </w:rPr>
        <w:t>8 (GVBl</w:t>
      </w:r>
      <w:r w:rsidR="003F40B1">
        <w:rPr>
          <w:rFonts w:ascii="Arial" w:eastAsia="Calibri" w:hAnsi="Arial" w:cs="Arial"/>
          <w:sz w:val="24"/>
          <w:szCs w:val="24"/>
          <w:lang w:eastAsia="en-US"/>
        </w:rPr>
        <w:t>.</w:t>
      </w:r>
      <w:r w:rsidR="00D92E6C" w:rsidRPr="00D92E6C">
        <w:rPr>
          <w:rFonts w:ascii="Arial" w:eastAsia="Calibri" w:hAnsi="Arial" w:cs="Arial"/>
          <w:sz w:val="24"/>
          <w:szCs w:val="24"/>
          <w:lang w:eastAsia="en-US"/>
        </w:rPr>
        <w:t xml:space="preserve"> S. </w:t>
      </w:r>
      <w:r w:rsidR="00D92E6C">
        <w:rPr>
          <w:rFonts w:ascii="Arial" w:eastAsia="Calibri" w:hAnsi="Arial" w:cs="Arial"/>
          <w:sz w:val="24"/>
          <w:szCs w:val="24"/>
          <w:lang w:eastAsia="en-US"/>
        </w:rPr>
        <w:t>70</w:t>
      </w:r>
      <w:r w:rsidR="007B7086">
        <w:rPr>
          <w:rFonts w:ascii="Arial" w:eastAsia="Calibri" w:hAnsi="Arial" w:cs="Arial"/>
          <w:sz w:val="24"/>
          <w:szCs w:val="24"/>
          <w:lang w:eastAsia="en-US"/>
        </w:rPr>
        <w:t>8</w:t>
      </w:r>
      <w:r w:rsidR="00D92E6C" w:rsidRPr="00D92E6C">
        <w:rPr>
          <w:rFonts w:ascii="Arial" w:eastAsia="Calibri" w:hAnsi="Arial" w:cs="Arial"/>
          <w:sz w:val="24"/>
          <w:szCs w:val="24"/>
          <w:lang w:eastAsia="en-US"/>
        </w:rPr>
        <w:t>)</w:t>
      </w:r>
      <w:r w:rsidR="00D92E6C">
        <w:rPr>
          <w:rFonts w:ascii="Arial" w:eastAsia="Calibri" w:hAnsi="Arial" w:cs="Arial"/>
          <w:sz w:val="24"/>
          <w:szCs w:val="24"/>
          <w:lang w:eastAsia="en-US"/>
        </w:rPr>
        <w:t xml:space="preserve"> wurde die Sonderzahlung ab dem Jahr 2018 auf 900 </w:t>
      </w:r>
      <w:r w:rsidR="00996C9D">
        <w:rPr>
          <w:rFonts w:ascii="Arial" w:eastAsia="Calibri" w:hAnsi="Arial" w:cs="Arial"/>
          <w:sz w:val="24"/>
          <w:szCs w:val="24"/>
          <w:lang w:eastAsia="en-US"/>
        </w:rPr>
        <w:t>€</w:t>
      </w:r>
      <w:r w:rsidR="00D92E6C">
        <w:rPr>
          <w:rFonts w:ascii="Arial" w:eastAsia="Calibri" w:hAnsi="Arial" w:cs="Arial"/>
          <w:sz w:val="24"/>
          <w:szCs w:val="24"/>
          <w:lang w:eastAsia="en-US"/>
        </w:rPr>
        <w:t xml:space="preserve"> angehoben.</w:t>
      </w:r>
    </w:p>
    <w:bookmarkEnd w:id="5"/>
    <w:p w14:paraId="43F00A17" w14:textId="77777777" w:rsidR="00B97228" w:rsidRDefault="00B97228" w:rsidP="00503386">
      <w:pPr>
        <w:overflowPunct/>
        <w:autoSpaceDE/>
        <w:autoSpaceDN/>
        <w:adjustRightInd/>
        <w:spacing w:line="276" w:lineRule="auto"/>
        <w:jc w:val="both"/>
        <w:textAlignment w:val="auto"/>
        <w:rPr>
          <w:rFonts w:ascii="Arial" w:eastAsia="Calibri" w:hAnsi="Arial" w:cs="Arial"/>
          <w:sz w:val="24"/>
          <w:szCs w:val="24"/>
          <w:lang w:eastAsia="en-US"/>
        </w:rPr>
      </w:pPr>
    </w:p>
    <w:p w14:paraId="455596B1" w14:textId="55B006E2" w:rsidR="00154DB5" w:rsidRDefault="0099718B"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II.</w:t>
      </w:r>
    </w:p>
    <w:p w14:paraId="5D04E74A" w14:textId="761DA012" w:rsidR="008225EC" w:rsidRDefault="008225EC" w:rsidP="00503386">
      <w:pPr>
        <w:overflowPunct/>
        <w:spacing w:line="276" w:lineRule="auto"/>
        <w:jc w:val="center"/>
        <w:textAlignment w:val="auto"/>
        <w:rPr>
          <w:rFonts w:ascii="Arial" w:eastAsia="Calibri" w:hAnsi="Arial" w:cs="Arial"/>
          <w:sz w:val="24"/>
          <w:szCs w:val="24"/>
          <w:lang w:eastAsia="en-US"/>
        </w:rPr>
      </w:pPr>
    </w:p>
    <w:p w14:paraId="6992C387" w14:textId="62322CBE" w:rsidR="008225EC" w:rsidRDefault="008225EC" w:rsidP="00321BD0">
      <w:pPr>
        <w:overflowPunct/>
        <w:spacing w:line="276" w:lineRule="auto"/>
        <w:textAlignment w:val="auto"/>
        <w:rPr>
          <w:rFonts w:ascii="Arial" w:hAnsi="Arial" w:cs="Arial"/>
          <w:sz w:val="24"/>
          <w:szCs w:val="24"/>
        </w:rPr>
      </w:pPr>
      <w:r>
        <w:rPr>
          <w:rFonts w:ascii="Arial" w:hAnsi="Arial" w:cs="Arial"/>
          <w:sz w:val="24"/>
          <w:szCs w:val="24"/>
        </w:rPr>
        <w:t>Der Streitgegenstand im Vorlageverfahren stellt sich wie folgt dar:</w:t>
      </w:r>
    </w:p>
    <w:p w14:paraId="39EB67AA" w14:textId="77777777" w:rsidR="008225EC" w:rsidRDefault="008225EC" w:rsidP="00503386">
      <w:pPr>
        <w:overflowPunct/>
        <w:spacing w:line="276" w:lineRule="auto"/>
        <w:jc w:val="center"/>
        <w:textAlignment w:val="auto"/>
        <w:rPr>
          <w:rFonts w:ascii="Arial" w:eastAsia="Calibri" w:hAnsi="Arial" w:cs="Arial"/>
          <w:sz w:val="24"/>
          <w:szCs w:val="24"/>
          <w:lang w:eastAsia="en-US"/>
        </w:rPr>
      </w:pPr>
    </w:p>
    <w:p w14:paraId="4F605D8A" w14:textId="32D0AB08" w:rsidR="00E34CD7" w:rsidRPr="00881E37" w:rsidRDefault="006E25CF" w:rsidP="00503386">
      <w:pPr>
        <w:overflowPunct/>
        <w:spacing w:line="276" w:lineRule="auto"/>
        <w:jc w:val="both"/>
        <w:textAlignment w:val="auto"/>
        <w:rPr>
          <w:rFonts w:ascii="Arial" w:eastAsia="Calibri" w:hAnsi="Arial" w:cs="Arial"/>
          <w:color w:val="00B050"/>
          <w:sz w:val="24"/>
          <w:szCs w:val="24"/>
          <w:lang w:eastAsia="en-US"/>
        </w:rPr>
      </w:pPr>
      <w:r w:rsidRPr="00881E37">
        <w:rPr>
          <w:rFonts w:ascii="Arial" w:eastAsia="Calibri" w:hAnsi="Arial" w:cs="Arial"/>
          <w:color w:val="00B050"/>
          <w:sz w:val="24"/>
          <w:szCs w:val="24"/>
          <w:lang w:eastAsia="en-US"/>
        </w:rPr>
        <w:t>D</w:t>
      </w:r>
      <w:r w:rsidR="00954741">
        <w:rPr>
          <w:rFonts w:ascii="Arial" w:eastAsia="Calibri" w:hAnsi="Arial" w:cs="Arial"/>
          <w:color w:val="00B050"/>
          <w:sz w:val="24"/>
          <w:szCs w:val="24"/>
          <w:lang w:eastAsia="en-US"/>
        </w:rPr>
        <w:t>er</w:t>
      </w:r>
      <w:r w:rsidR="003E5D2F" w:rsidRPr="00881E37">
        <w:rPr>
          <w:rFonts w:ascii="Arial" w:eastAsia="Calibri" w:hAnsi="Arial" w:cs="Arial"/>
          <w:color w:val="00B050"/>
          <w:sz w:val="24"/>
          <w:szCs w:val="24"/>
          <w:lang w:eastAsia="en-US"/>
        </w:rPr>
        <w:t xml:space="preserve"> Kläger </w:t>
      </w:r>
      <w:r w:rsidRPr="00881E37">
        <w:rPr>
          <w:rFonts w:ascii="Arial" w:eastAsia="Calibri" w:hAnsi="Arial" w:cs="Arial"/>
          <w:color w:val="00B050"/>
          <w:sz w:val="24"/>
          <w:szCs w:val="24"/>
          <w:lang w:eastAsia="en-US"/>
        </w:rPr>
        <w:t xml:space="preserve">war </w:t>
      </w:r>
      <w:r w:rsidR="003E5D2F" w:rsidRPr="00881E37">
        <w:rPr>
          <w:rFonts w:ascii="Arial" w:eastAsia="Calibri" w:hAnsi="Arial" w:cs="Arial"/>
          <w:color w:val="00B050"/>
          <w:sz w:val="24"/>
          <w:szCs w:val="24"/>
          <w:lang w:eastAsia="en-US"/>
        </w:rPr>
        <w:t>i</w:t>
      </w:r>
      <w:r w:rsidR="00E34CD7" w:rsidRPr="00881E37">
        <w:rPr>
          <w:rFonts w:ascii="Arial" w:eastAsia="Calibri" w:hAnsi="Arial" w:cs="Arial"/>
          <w:color w:val="00B050"/>
          <w:sz w:val="24"/>
          <w:szCs w:val="24"/>
          <w:lang w:eastAsia="en-US"/>
        </w:rPr>
        <w:t xml:space="preserve">m entscheidungserheblichen Zeitraum Richter am </w:t>
      </w:r>
      <w:r w:rsidR="00015B64">
        <w:rPr>
          <w:rFonts w:ascii="Arial" w:eastAsia="Calibri" w:hAnsi="Arial" w:cs="Arial"/>
          <w:color w:val="00B050"/>
          <w:sz w:val="24"/>
          <w:szCs w:val="24"/>
          <w:lang w:eastAsia="en-US"/>
        </w:rPr>
        <w:t>…..</w:t>
      </w:r>
      <w:r w:rsidR="00E34CD7" w:rsidRPr="00881E37">
        <w:rPr>
          <w:rFonts w:ascii="Arial" w:eastAsia="Calibri" w:hAnsi="Arial" w:cs="Arial"/>
          <w:color w:val="00B050"/>
          <w:sz w:val="24"/>
          <w:szCs w:val="24"/>
          <w:lang w:eastAsia="en-US"/>
        </w:rPr>
        <w:t xml:space="preserve"> Berlin (Besoldungsgruppe R </w:t>
      </w:r>
      <w:r w:rsidR="00015B64">
        <w:rPr>
          <w:rFonts w:ascii="Arial" w:eastAsia="Calibri" w:hAnsi="Arial" w:cs="Arial"/>
          <w:color w:val="00B050"/>
          <w:sz w:val="24"/>
          <w:szCs w:val="24"/>
          <w:lang w:eastAsia="en-US"/>
        </w:rPr>
        <w:t>……</w:t>
      </w:r>
      <w:r w:rsidR="00E34CD7" w:rsidRPr="00881E37">
        <w:rPr>
          <w:rFonts w:ascii="Arial" w:eastAsia="Calibri" w:hAnsi="Arial" w:cs="Arial"/>
          <w:color w:val="00B050"/>
          <w:sz w:val="24"/>
          <w:szCs w:val="24"/>
          <w:lang w:eastAsia="en-US"/>
        </w:rPr>
        <w:t>)</w:t>
      </w:r>
      <w:r w:rsidR="00E03228">
        <w:rPr>
          <w:rFonts w:ascii="Arial" w:eastAsia="Calibri" w:hAnsi="Arial" w:cs="Arial"/>
          <w:color w:val="00B050"/>
          <w:sz w:val="24"/>
          <w:szCs w:val="24"/>
          <w:lang w:eastAsia="en-US"/>
        </w:rPr>
        <w:t xml:space="preserve"> und </w:t>
      </w:r>
      <w:r w:rsidR="00727463">
        <w:rPr>
          <w:rFonts w:ascii="Arial" w:eastAsia="Calibri" w:hAnsi="Arial" w:cs="Arial"/>
          <w:color w:val="00B050"/>
          <w:sz w:val="24"/>
          <w:szCs w:val="24"/>
          <w:lang w:eastAsia="en-US"/>
        </w:rPr>
        <w:t>verheiratet</w:t>
      </w:r>
      <w:r w:rsidR="00E03228">
        <w:rPr>
          <w:rFonts w:ascii="Arial" w:eastAsia="Calibri" w:hAnsi="Arial" w:cs="Arial"/>
          <w:color w:val="00B050"/>
          <w:sz w:val="24"/>
          <w:szCs w:val="24"/>
          <w:lang w:eastAsia="en-US"/>
        </w:rPr>
        <w:t>. Seine Kinder sind am … und … geboren</w:t>
      </w:r>
    </w:p>
    <w:p w14:paraId="40328607" w14:textId="6D4C8EB0" w:rsidR="00515698" w:rsidRPr="00881E37" w:rsidRDefault="00515698" w:rsidP="00503386">
      <w:pPr>
        <w:overflowPunct/>
        <w:spacing w:line="276" w:lineRule="auto"/>
        <w:jc w:val="both"/>
        <w:textAlignment w:val="auto"/>
        <w:rPr>
          <w:rFonts w:ascii="Arial" w:eastAsia="Calibri" w:hAnsi="Arial" w:cs="Arial"/>
          <w:color w:val="00B050"/>
          <w:sz w:val="24"/>
          <w:szCs w:val="24"/>
          <w:lang w:eastAsia="en-US"/>
        </w:rPr>
      </w:pPr>
    </w:p>
    <w:p w14:paraId="2D0ADA91" w14:textId="137A2024" w:rsidR="00515698" w:rsidRPr="00881E37" w:rsidRDefault="00515698" w:rsidP="00503386">
      <w:pPr>
        <w:overflowPunct/>
        <w:spacing w:line="276" w:lineRule="auto"/>
        <w:jc w:val="both"/>
        <w:textAlignment w:val="auto"/>
        <w:rPr>
          <w:rFonts w:ascii="Arial" w:eastAsia="Calibri" w:hAnsi="Arial" w:cs="Arial"/>
          <w:color w:val="00B050"/>
          <w:sz w:val="24"/>
          <w:szCs w:val="24"/>
          <w:lang w:eastAsia="en-US"/>
        </w:rPr>
      </w:pPr>
      <w:r w:rsidRPr="00881E37">
        <w:rPr>
          <w:rFonts w:ascii="Arial" w:eastAsia="Calibri" w:hAnsi="Arial" w:cs="Arial"/>
          <w:color w:val="00B050"/>
          <w:sz w:val="24"/>
          <w:szCs w:val="24"/>
          <w:lang w:eastAsia="en-US"/>
        </w:rPr>
        <w:t xml:space="preserve">Der Kläger legte am </w:t>
      </w:r>
      <w:r w:rsidR="00727463">
        <w:rPr>
          <w:rFonts w:ascii="Arial" w:eastAsia="Calibri" w:hAnsi="Arial" w:cs="Arial"/>
          <w:color w:val="00B050"/>
          <w:sz w:val="24"/>
          <w:szCs w:val="24"/>
          <w:lang w:eastAsia="en-US"/>
        </w:rPr>
        <w:t xml:space="preserve">            </w:t>
      </w:r>
      <w:r w:rsidR="003F5AD1">
        <w:rPr>
          <w:rFonts w:ascii="Arial" w:eastAsia="Calibri" w:hAnsi="Arial" w:cs="Arial"/>
          <w:color w:val="00B050"/>
          <w:sz w:val="24"/>
          <w:szCs w:val="24"/>
          <w:lang w:eastAsia="en-US"/>
        </w:rPr>
        <w:t xml:space="preserve">und </w:t>
      </w:r>
      <w:r w:rsidR="00727463">
        <w:rPr>
          <w:rFonts w:ascii="Arial" w:eastAsia="Calibri" w:hAnsi="Arial" w:cs="Arial"/>
          <w:color w:val="00B050"/>
          <w:sz w:val="24"/>
          <w:szCs w:val="24"/>
          <w:lang w:eastAsia="en-US"/>
        </w:rPr>
        <w:t xml:space="preserve">     </w:t>
      </w:r>
      <w:r w:rsidR="003F5AD1">
        <w:rPr>
          <w:rFonts w:ascii="Arial" w:eastAsia="Calibri" w:hAnsi="Arial" w:cs="Arial"/>
          <w:color w:val="00B050"/>
          <w:sz w:val="24"/>
          <w:szCs w:val="24"/>
          <w:lang w:eastAsia="en-US"/>
        </w:rPr>
        <w:t xml:space="preserve">jeweils </w:t>
      </w:r>
      <w:r w:rsidRPr="00881E37">
        <w:rPr>
          <w:rFonts w:ascii="Arial" w:eastAsia="Calibri" w:hAnsi="Arial" w:cs="Arial"/>
          <w:color w:val="00B050"/>
          <w:sz w:val="24"/>
          <w:szCs w:val="24"/>
          <w:lang w:eastAsia="en-US"/>
        </w:rPr>
        <w:t xml:space="preserve">Widerspruch gegen die Besoldung ein und beantragte eine Besoldung in der verfassungsrechtlich gebotenen Höhe. Diese Widersprüche wurden mit Bescheid des </w:t>
      </w:r>
      <w:r w:rsidR="00324C90">
        <w:rPr>
          <w:rFonts w:ascii="Arial" w:eastAsia="Calibri" w:hAnsi="Arial" w:cs="Arial"/>
          <w:color w:val="00B050"/>
          <w:sz w:val="24"/>
          <w:szCs w:val="24"/>
          <w:lang w:eastAsia="en-US"/>
        </w:rPr>
        <w:t xml:space="preserve">                                          </w:t>
      </w:r>
      <w:r w:rsidRPr="00881E37">
        <w:rPr>
          <w:rFonts w:ascii="Arial" w:eastAsia="Calibri" w:hAnsi="Arial" w:cs="Arial"/>
          <w:color w:val="00B050"/>
          <w:sz w:val="24"/>
          <w:szCs w:val="24"/>
          <w:lang w:eastAsia="en-US"/>
        </w:rPr>
        <w:t xml:space="preserve">vom </w:t>
      </w:r>
      <w:bookmarkStart w:id="6" w:name="_Hlk87962511"/>
      <w:r w:rsidR="00324C90">
        <w:rPr>
          <w:rFonts w:ascii="Arial" w:eastAsia="Calibri" w:hAnsi="Arial" w:cs="Arial"/>
          <w:color w:val="00B050"/>
          <w:sz w:val="24"/>
          <w:szCs w:val="24"/>
          <w:lang w:eastAsia="en-US"/>
        </w:rPr>
        <w:t xml:space="preserve">                        </w:t>
      </w:r>
      <w:bookmarkEnd w:id="6"/>
      <w:r w:rsidRPr="00881E37">
        <w:rPr>
          <w:rFonts w:ascii="Arial" w:eastAsia="Calibri" w:hAnsi="Arial" w:cs="Arial"/>
          <w:color w:val="00B050"/>
          <w:sz w:val="24"/>
          <w:szCs w:val="24"/>
          <w:lang w:eastAsia="en-US"/>
        </w:rPr>
        <w:t>(AZ</w:t>
      </w:r>
      <w:r w:rsidR="0063693E" w:rsidRPr="00881E37">
        <w:rPr>
          <w:rFonts w:ascii="Arial" w:eastAsia="Calibri" w:hAnsi="Arial" w:cs="Arial"/>
          <w:color w:val="00B050"/>
          <w:sz w:val="24"/>
          <w:szCs w:val="24"/>
          <w:lang w:eastAsia="en-US"/>
        </w:rPr>
        <w:t>:</w:t>
      </w:r>
      <w:r w:rsidRPr="00881E37">
        <w:rPr>
          <w:rFonts w:ascii="Arial" w:eastAsia="Calibri" w:hAnsi="Arial" w:cs="Arial"/>
          <w:color w:val="00B050"/>
          <w:sz w:val="24"/>
          <w:szCs w:val="24"/>
          <w:lang w:eastAsia="en-US"/>
        </w:rPr>
        <w:t xml:space="preserve"> </w:t>
      </w:r>
      <w:r w:rsidR="00324C90">
        <w:rPr>
          <w:rFonts w:ascii="Arial" w:eastAsia="Calibri" w:hAnsi="Arial" w:cs="Arial"/>
          <w:color w:val="00B050"/>
          <w:sz w:val="24"/>
          <w:szCs w:val="24"/>
          <w:lang w:eastAsia="en-US"/>
        </w:rPr>
        <w:t xml:space="preserve">                     </w:t>
      </w:r>
      <w:r w:rsidRPr="00881E37">
        <w:rPr>
          <w:rFonts w:ascii="Arial" w:eastAsia="Calibri" w:hAnsi="Arial" w:cs="Arial"/>
          <w:color w:val="00B050"/>
          <w:sz w:val="24"/>
          <w:szCs w:val="24"/>
          <w:lang w:eastAsia="en-US"/>
        </w:rPr>
        <w:t xml:space="preserve">) </w:t>
      </w:r>
      <w:r w:rsidR="008D61EF">
        <w:rPr>
          <w:rFonts w:ascii="Arial" w:eastAsia="Calibri" w:hAnsi="Arial" w:cs="Arial"/>
          <w:color w:val="00B050"/>
          <w:sz w:val="24"/>
          <w:szCs w:val="24"/>
          <w:lang w:eastAsia="en-US"/>
        </w:rPr>
        <w:t xml:space="preserve">mit der Begründung </w:t>
      </w:r>
      <w:r w:rsidRPr="00881E37">
        <w:rPr>
          <w:rFonts w:ascii="Arial" w:eastAsia="Calibri" w:hAnsi="Arial" w:cs="Arial"/>
          <w:color w:val="00B050"/>
          <w:sz w:val="24"/>
          <w:szCs w:val="24"/>
          <w:lang w:eastAsia="en-US"/>
        </w:rPr>
        <w:t>zurückgewiesen</w:t>
      </w:r>
      <w:r w:rsidR="008D61EF">
        <w:rPr>
          <w:rFonts w:ascii="Arial" w:eastAsia="Calibri" w:hAnsi="Arial" w:cs="Arial"/>
          <w:color w:val="00B050"/>
          <w:sz w:val="24"/>
          <w:szCs w:val="24"/>
          <w:lang w:eastAsia="en-US"/>
        </w:rPr>
        <w:t>, die Höhe der Besoldung ergebe sich aus dem Gesetz</w:t>
      </w:r>
      <w:r w:rsidRPr="00881E37">
        <w:rPr>
          <w:rFonts w:ascii="Arial" w:eastAsia="Calibri" w:hAnsi="Arial" w:cs="Arial"/>
          <w:color w:val="00B050"/>
          <w:sz w:val="24"/>
          <w:szCs w:val="24"/>
          <w:lang w:eastAsia="en-US"/>
        </w:rPr>
        <w:t xml:space="preserve">. </w:t>
      </w:r>
    </w:p>
    <w:p w14:paraId="6664725D" w14:textId="368450C6" w:rsidR="001B2645" w:rsidRPr="00881E37" w:rsidRDefault="001B2645" w:rsidP="00503386">
      <w:pPr>
        <w:overflowPunct/>
        <w:spacing w:line="276" w:lineRule="auto"/>
        <w:jc w:val="both"/>
        <w:textAlignment w:val="auto"/>
        <w:rPr>
          <w:rFonts w:ascii="Arial" w:eastAsia="Calibri" w:hAnsi="Arial" w:cs="Arial"/>
          <w:color w:val="00B050"/>
          <w:sz w:val="24"/>
          <w:szCs w:val="24"/>
          <w:lang w:eastAsia="en-US"/>
        </w:rPr>
      </w:pPr>
    </w:p>
    <w:p w14:paraId="0D1B807E" w14:textId="130E1C3A" w:rsidR="001B2645" w:rsidRPr="009D6120" w:rsidRDefault="000A66D7" w:rsidP="00503386">
      <w:pPr>
        <w:overflowPunct/>
        <w:spacing w:line="276" w:lineRule="auto"/>
        <w:jc w:val="both"/>
        <w:textAlignment w:val="auto"/>
        <w:rPr>
          <w:rFonts w:ascii="Arial" w:eastAsia="Calibri" w:hAnsi="Arial" w:cs="Arial"/>
          <w:color w:val="00B050"/>
          <w:sz w:val="24"/>
          <w:szCs w:val="24"/>
          <w:lang w:eastAsia="en-US"/>
        </w:rPr>
      </w:pPr>
      <w:r w:rsidRPr="00881E37">
        <w:rPr>
          <w:rFonts w:ascii="Arial" w:eastAsia="Calibri" w:hAnsi="Arial" w:cs="Arial"/>
          <w:color w:val="00B050"/>
          <w:sz w:val="24"/>
          <w:szCs w:val="24"/>
          <w:lang w:eastAsia="en-US"/>
        </w:rPr>
        <w:t>Gegen diese</w:t>
      </w:r>
      <w:r w:rsidR="00867959">
        <w:rPr>
          <w:rFonts w:ascii="Arial" w:eastAsia="Calibri" w:hAnsi="Arial" w:cs="Arial"/>
          <w:color w:val="00B050"/>
          <w:sz w:val="24"/>
          <w:szCs w:val="24"/>
          <w:lang w:eastAsia="en-US"/>
        </w:rPr>
        <w:t>(n)</w:t>
      </w:r>
      <w:r w:rsidRPr="00881E37">
        <w:rPr>
          <w:rFonts w:ascii="Arial" w:eastAsia="Calibri" w:hAnsi="Arial" w:cs="Arial"/>
          <w:color w:val="00B050"/>
          <w:sz w:val="24"/>
          <w:szCs w:val="24"/>
          <w:lang w:eastAsia="en-US"/>
        </w:rPr>
        <w:t xml:space="preserve"> </w:t>
      </w:r>
      <w:r w:rsidR="001003ED">
        <w:rPr>
          <w:rFonts w:ascii="Arial" w:eastAsia="Calibri" w:hAnsi="Arial" w:cs="Arial"/>
          <w:color w:val="00B050"/>
          <w:sz w:val="24"/>
          <w:szCs w:val="24"/>
          <w:lang w:eastAsia="en-US"/>
        </w:rPr>
        <w:t>Bescheid</w:t>
      </w:r>
      <w:r w:rsidR="00645EEE">
        <w:rPr>
          <w:rFonts w:ascii="Arial" w:eastAsia="Calibri" w:hAnsi="Arial" w:cs="Arial"/>
          <w:color w:val="00B050"/>
          <w:sz w:val="24"/>
          <w:szCs w:val="24"/>
          <w:lang w:eastAsia="en-US"/>
        </w:rPr>
        <w:t>(e)</w:t>
      </w:r>
      <w:r w:rsidRPr="00881E37">
        <w:rPr>
          <w:rFonts w:ascii="Arial" w:eastAsia="Calibri" w:hAnsi="Arial" w:cs="Arial"/>
          <w:color w:val="00B050"/>
          <w:sz w:val="24"/>
          <w:szCs w:val="24"/>
          <w:lang w:eastAsia="en-US"/>
        </w:rPr>
        <w:t xml:space="preserve"> richtet sich die </w:t>
      </w:r>
      <w:r w:rsidR="00867959">
        <w:rPr>
          <w:rFonts w:ascii="Arial" w:eastAsia="Calibri" w:hAnsi="Arial" w:cs="Arial"/>
          <w:color w:val="00B050"/>
          <w:sz w:val="24"/>
          <w:szCs w:val="24"/>
          <w:lang w:eastAsia="en-US"/>
        </w:rPr>
        <w:t xml:space="preserve">am             </w:t>
      </w:r>
      <w:r w:rsidR="008539D8" w:rsidRPr="00881E37">
        <w:rPr>
          <w:rFonts w:ascii="Arial" w:eastAsia="Calibri" w:hAnsi="Arial" w:cs="Arial"/>
          <w:color w:val="00B050"/>
          <w:sz w:val="24"/>
          <w:szCs w:val="24"/>
          <w:lang w:eastAsia="en-US"/>
        </w:rPr>
        <w:t xml:space="preserve">erhobene Klage. </w:t>
      </w:r>
    </w:p>
    <w:p w14:paraId="21EB10F9" w14:textId="2800D169" w:rsidR="007F2760" w:rsidRPr="009D6120" w:rsidRDefault="007F2760" w:rsidP="00503386">
      <w:pPr>
        <w:overflowPunct/>
        <w:spacing w:line="276" w:lineRule="auto"/>
        <w:jc w:val="both"/>
        <w:textAlignment w:val="auto"/>
        <w:rPr>
          <w:rFonts w:ascii="Arial" w:eastAsia="Calibri" w:hAnsi="Arial" w:cs="Arial"/>
          <w:color w:val="00B050"/>
          <w:sz w:val="24"/>
          <w:szCs w:val="24"/>
          <w:lang w:eastAsia="en-US"/>
        </w:rPr>
      </w:pPr>
    </w:p>
    <w:p w14:paraId="426E68FC" w14:textId="321947E8" w:rsidR="00DE4F8D" w:rsidRPr="009D6120" w:rsidRDefault="00DE4F8D" w:rsidP="00503386">
      <w:pPr>
        <w:overflowPunct/>
        <w:spacing w:line="276" w:lineRule="auto"/>
        <w:jc w:val="both"/>
        <w:textAlignment w:val="auto"/>
        <w:rPr>
          <w:rFonts w:ascii="Arial" w:eastAsia="Calibri" w:hAnsi="Arial" w:cs="Arial"/>
          <w:color w:val="00B050"/>
          <w:sz w:val="24"/>
          <w:szCs w:val="24"/>
          <w:lang w:eastAsia="en-US"/>
        </w:rPr>
      </w:pPr>
      <w:r w:rsidRPr="009D6120">
        <w:rPr>
          <w:rFonts w:ascii="Arial" w:eastAsia="Calibri" w:hAnsi="Arial" w:cs="Arial"/>
          <w:color w:val="00B050"/>
          <w:sz w:val="24"/>
          <w:szCs w:val="24"/>
          <w:lang w:eastAsia="en-US"/>
        </w:rPr>
        <w:t>D</w:t>
      </w:r>
      <w:r w:rsidR="00D00969">
        <w:rPr>
          <w:rFonts w:ascii="Arial" w:eastAsia="Calibri" w:hAnsi="Arial" w:cs="Arial"/>
          <w:color w:val="00B050"/>
          <w:sz w:val="24"/>
          <w:szCs w:val="24"/>
          <w:lang w:eastAsia="en-US"/>
        </w:rPr>
        <w:t>er</w:t>
      </w:r>
      <w:r w:rsidRPr="009D6120">
        <w:rPr>
          <w:rFonts w:ascii="Arial" w:eastAsia="Calibri" w:hAnsi="Arial" w:cs="Arial"/>
          <w:color w:val="00B050"/>
          <w:sz w:val="24"/>
          <w:szCs w:val="24"/>
          <w:lang w:eastAsia="en-US"/>
        </w:rPr>
        <w:t xml:space="preserve"> Kläger </w:t>
      </w:r>
      <w:r w:rsidR="00D00969">
        <w:rPr>
          <w:rFonts w:ascii="Arial" w:eastAsia="Calibri" w:hAnsi="Arial" w:cs="Arial"/>
          <w:color w:val="00B050"/>
          <w:sz w:val="24"/>
          <w:szCs w:val="24"/>
          <w:lang w:eastAsia="en-US"/>
        </w:rPr>
        <w:t>ist</w:t>
      </w:r>
      <w:r w:rsidRPr="009D6120">
        <w:rPr>
          <w:rFonts w:ascii="Arial" w:eastAsia="Calibri" w:hAnsi="Arial" w:cs="Arial"/>
          <w:color w:val="00B050"/>
          <w:sz w:val="24"/>
          <w:szCs w:val="24"/>
          <w:lang w:eastAsia="en-US"/>
        </w:rPr>
        <w:t xml:space="preserve"> der Ansicht, dass die ih</w:t>
      </w:r>
      <w:r w:rsidR="001707EE">
        <w:rPr>
          <w:rFonts w:ascii="Arial" w:eastAsia="Calibri" w:hAnsi="Arial" w:cs="Arial"/>
          <w:color w:val="00B050"/>
          <w:sz w:val="24"/>
          <w:szCs w:val="24"/>
          <w:lang w:eastAsia="en-US"/>
        </w:rPr>
        <w:t>m</w:t>
      </w:r>
      <w:r w:rsidRPr="009D6120">
        <w:rPr>
          <w:rFonts w:ascii="Arial" w:eastAsia="Calibri" w:hAnsi="Arial" w:cs="Arial"/>
          <w:color w:val="00B050"/>
          <w:sz w:val="24"/>
          <w:szCs w:val="24"/>
          <w:lang w:eastAsia="en-US"/>
        </w:rPr>
        <w:t xml:space="preserve"> gewährte Besoldung in den </w:t>
      </w:r>
      <w:r w:rsidR="0063693E" w:rsidRPr="009D6120">
        <w:rPr>
          <w:rFonts w:ascii="Arial" w:eastAsia="Calibri" w:hAnsi="Arial" w:cs="Arial"/>
          <w:color w:val="00B050"/>
          <w:sz w:val="24"/>
          <w:szCs w:val="24"/>
          <w:lang w:eastAsia="en-US"/>
        </w:rPr>
        <w:t xml:space="preserve">Jahren </w:t>
      </w:r>
      <w:r w:rsidRPr="009D6120">
        <w:rPr>
          <w:rFonts w:ascii="Arial" w:eastAsia="Calibri" w:hAnsi="Arial" w:cs="Arial"/>
          <w:color w:val="00B050"/>
          <w:sz w:val="24"/>
          <w:szCs w:val="24"/>
          <w:lang w:eastAsia="en-US"/>
        </w:rPr>
        <w:t>2016 bis 20</w:t>
      </w:r>
      <w:r w:rsidR="00DF3B26">
        <w:rPr>
          <w:rFonts w:ascii="Arial" w:eastAsia="Calibri" w:hAnsi="Arial" w:cs="Arial"/>
          <w:color w:val="00B050"/>
          <w:sz w:val="24"/>
          <w:szCs w:val="24"/>
          <w:lang w:eastAsia="en-US"/>
        </w:rPr>
        <w:t>20</w:t>
      </w:r>
      <w:r w:rsidRPr="009D6120">
        <w:rPr>
          <w:rFonts w:ascii="Arial" w:eastAsia="Calibri" w:hAnsi="Arial" w:cs="Arial"/>
          <w:color w:val="00B050"/>
          <w:sz w:val="24"/>
          <w:szCs w:val="24"/>
          <w:lang w:eastAsia="en-US"/>
        </w:rPr>
        <w:t xml:space="preserve"> mit Art. 33 Abs. 5 i.V.m. Art. 33 Abs. 2 GG nicht vereinbar und verfassungswidrig zu niedrig bemessen war.</w:t>
      </w:r>
      <w:r w:rsidR="008D61EF">
        <w:rPr>
          <w:rFonts w:ascii="Arial" w:eastAsia="Calibri" w:hAnsi="Arial" w:cs="Arial"/>
          <w:color w:val="00B050"/>
          <w:sz w:val="24"/>
          <w:szCs w:val="24"/>
          <w:lang w:eastAsia="en-US"/>
        </w:rPr>
        <w:t xml:space="preserve"> Der Kläger ist der Ansicht, …</w:t>
      </w:r>
    </w:p>
    <w:p w14:paraId="1C51E5C3" w14:textId="77777777" w:rsidR="00DE4F8D" w:rsidRDefault="00DE4F8D" w:rsidP="00503386">
      <w:pPr>
        <w:overflowPunct/>
        <w:spacing w:line="276" w:lineRule="auto"/>
        <w:jc w:val="both"/>
        <w:textAlignment w:val="auto"/>
        <w:rPr>
          <w:rFonts w:ascii="Arial" w:eastAsia="Calibri" w:hAnsi="Arial" w:cs="Arial"/>
          <w:color w:val="00B050"/>
          <w:sz w:val="24"/>
          <w:szCs w:val="24"/>
          <w:lang w:eastAsia="en-US"/>
        </w:rPr>
      </w:pPr>
    </w:p>
    <w:p w14:paraId="0EB2FB6C" w14:textId="1B525F4E" w:rsidR="007F2760" w:rsidRPr="009D6120" w:rsidRDefault="007F2760" w:rsidP="00503386">
      <w:pPr>
        <w:overflowPunct/>
        <w:spacing w:line="276" w:lineRule="auto"/>
        <w:jc w:val="both"/>
        <w:textAlignment w:val="auto"/>
        <w:rPr>
          <w:rFonts w:ascii="Arial" w:eastAsia="Calibri" w:hAnsi="Arial" w:cs="Arial"/>
          <w:color w:val="00B050"/>
          <w:sz w:val="24"/>
          <w:szCs w:val="24"/>
          <w:lang w:eastAsia="en-US"/>
        </w:rPr>
      </w:pPr>
      <w:r w:rsidRPr="009D6120">
        <w:rPr>
          <w:rFonts w:ascii="Arial" w:eastAsia="Calibri" w:hAnsi="Arial" w:cs="Arial"/>
          <w:color w:val="00B050"/>
          <w:sz w:val="24"/>
          <w:szCs w:val="24"/>
          <w:lang w:eastAsia="en-US"/>
        </w:rPr>
        <w:t>D</w:t>
      </w:r>
      <w:r w:rsidR="001707EE">
        <w:rPr>
          <w:rFonts w:ascii="Arial" w:eastAsia="Calibri" w:hAnsi="Arial" w:cs="Arial"/>
          <w:color w:val="00B050"/>
          <w:sz w:val="24"/>
          <w:szCs w:val="24"/>
          <w:lang w:eastAsia="en-US"/>
        </w:rPr>
        <w:t>er</w:t>
      </w:r>
      <w:r w:rsidRPr="009D6120">
        <w:rPr>
          <w:rFonts w:ascii="Arial" w:eastAsia="Calibri" w:hAnsi="Arial" w:cs="Arial"/>
          <w:color w:val="00B050"/>
          <w:sz w:val="24"/>
          <w:szCs w:val="24"/>
          <w:lang w:eastAsia="en-US"/>
        </w:rPr>
        <w:t xml:space="preserve"> Kläger </w:t>
      </w:r>
      <w:r w:rsidR="00F31099">
        <w:rPr>
          <w:rFonts w:ascii="Arial" w:eastAsia="Calibri" w:hAnsi="Arial" w:cs="Arial"/>
          <w:color w:val="00B050"/>
          <w:sz w:val="24"/>
          <w:szCs w:val="24"/>
          <w:lang w:eastAsia="en-US"/>
        </w:rPr>
        <w:t>ha</w:t>
      </w:r>
      <w:r w:rsidR="001707EE">
        <w:rPr>
          <w:rFonts w:ascii="Arial" w:eastAsia="Calibri" w:hAnsi="Arial" w:cs="Arial"/>
          <w:color w:val="00B050"/>
          <w:sz w:val="24"/>
          <w:szCs w:val="24"/>
          <w:lang w:eastAsia="en-US"/>
        </w:rPr>
        <w:t>t</w:t>
      </w:r>
      <w:r w:rsidR="00F31099">
        <w:rPr>
          <w:rFonts w:ascii="Arial" w:eastAsia="Calibri" w:hAnsi="Arial" w:cs="Arial"/>
          <w:color w:val="00B050"/>
          <w:sz w:val="24"/>
          <w:szCs w:val="24"/>
          <w:lang w:eastAsia="en-US"/>
        </w:rPr>
        <w:t xml:space="preserve"> angekündigt zu </w:t>
      </w:r>
      <w:r w:rsidRPr="009D6120">
        <w:rPr>
          <w:rFonts w:ascii="Arial" w:eastAsia="Calibri" w:hAnsi="Arial" w:cs="Arial"/>
          <w:color w:val="00B050"/>
          <w:sz w:val="24"/>
          <w:szCs w:val="24"/>
          <w:lang w:eastAsia="en-US"/>
        </w:rPr>
        <w:t>beantragen,</w:t>
      </w:r>
    </w:p>
    <w:p w14:paraId="71EF38C6" w14:textId="77777777" w:rsidR="007F2760" w:rsidRPr="009D6120" w:rsidRDefault="007F2760" w:rsidP="00503386">
      <w:pPr>
        <w:overflowPunct/>
        <w:spacing w:line="276" w:lineRule="auto"/>
        <w:jc w:val="both"/>
        <w:textAlignment w:val="auto"/>
        <w:rPr>
          <w:rFonts w:ascii="Arial" w:eastAsia="Calibri" w:hAnsi="Arial" w:cs="Arial"/>
          <w:color w:val="00B050"/>
          <w:sz w:val="24"/>
          <w:szCs w:val="24"/>
          <w:lang w:eastAsia="en-US"/>
        </w:rPr>
      </w:pPr>
    </w:p>
    <w:p w14:paraId="02336481" w14:textId="5454537C" w:rsidR="001707EE" w:rsidRDefault="001707EE" w:rsidP="00503386">
      <w:pPr>
        <w:overflowPunct/>
        <w:ind w:left="1134" w:right="1134"/>
        <w:jc w:val="both"/>
        <w:textAlignment w:val="auto"/>
        <w:rPr>
          <w:rFonts w:ascii="Arial" w:eastAsia="Calibri" w:hAnsi="Arial" w:cs="Arial"/>
          <w:color w:val="00B050"/>
          <w:sz w:val="24"/>
          <w:szCs w:val="24"/>
          <w:lang w:eastAsia="en-US"/>
        </w:rPr>
      </w:pPr>
      <w:r>
        <w:rPr>
          <w:rFonts w:ascii="Arial" w:eastAsia="Calibri" w:hAnsi="Arial" w:cs="Arial"/>
          <w:color w:val="00B050"/>
          <w:sz w:val="24"/>
          <w:szCs w:val="24"/>
          <w:lang w:eastAsia="en-US"/>
        </w:rPr>
        <w:t>den/</w:t>
      </w:r>
      <w:r w:rsidR="007F2760" w:rsidRPr="009D6120">
        <w:rPr>
          <w:rFonts w:ascii="Arial" w:eastAsia="Calibri" w:hAnsi="Arial" w:cs="Arial"/>
          <w:color w:val="00B050"/>
          <w:sz w:val="24"/>
          <w:szCs w:val="24"/>
          <w:lang w:eastAsia="en-US"/>
        </w:rPr>
        <w:t>die Widerspruchsbescheid</w:t>
      </w:r>
      <w:r w:rsidR="00B95EB2">
        <w:rPr>
          <w:rFonts w:ascii="Arial" w:eastAsia="Calibri" w:hAnsi="Arial" w:cs="Arial"/>
          <w:color w:val="00B050"/>
          <w:sz w:val="24"/>
          <w:szCs w:val="24"/>
          <w:lang w:eastAsia="en-US"/>
        </w:rPr>
        <w:t>(</w:t>
      </w:r>
      <w:r w:rsidR="003F5AD1">
        <w:rPr>
          <w:rFonts w:ascii="Arial" w:eastAsia="Calibri" w:hAnsi="Arial" w:cs="Arial"/>
          <w:color w:val="00B050"/>
          <w:sz w:val="24"/>
          <w:szCs w:val="24"/>
          <w:lang w:eastAsia="en-US"/>
        </w:rPr>
        <w:t>e</w:t>
      </w:r>
      <w:r w:rsidR="00B95EB2">
        <w:rPr>
          <w:rFonts w:ascii="Arial" w:eastAsia="Calibri" w:hAnsi="Arial" w:cs="Arial"/>
          <w:color w:val="00B050"/>
          <w:sz w:val="24"/>
          <w:szCs w:val="24"/>
          <w:lang w:eastAsia="en-US"/>
        </w:rPr>
        <w:t>)</w:t>
      </w:r>
      <w:r w:rsidR="00143249">
        <w:rPr>
          <w:rFonts w:ascii="Arial" w:eastAsia="Calibri" w:hAnsi="Arial" w:cs="Arial"/>
          <w:color w:val="00B050"/>
          <w:sz w:val="24"/>
          <w:szCs w:val="24"/>
          <w:lang w:eastAsia="en-US"/>
        </w:rPr>
        <w:t xml:space="preserve"> </w:t>
      </w:r>
      <w:r w:rsidR="005168C6">
        <w:rPr>
          <w:rFonts w:ascii="Arial" w:eastAsia="Calibri" w:hAnsi="Arial" w:cs="Arial"/>
          <w:color w:val="00B050"/>
          <w:sz w:val="24"/>
          <w:szCs w:val="24"/>
          <w:lang w:eastAsia="en-US"/>
        </w:rPr>
        <w:t xml:space="preserve">des </w:t>
      </w:r>
      <w:r>
        <w:rPr>
          <w:rFonts w:ascii="Arial" w:eastAsia="Calibri" w:hAnsi="Arial" w:cs="Arial"/>
          <w:color w:val="00B050"/>
          <w:sz w:val="24"/>
          <w:szCs w:val="24"/>
          <w:lang w:eastAsia="en-US"/>
        </w:rPr>
        <w:t xml:space="preserve">                                         </w:t>
      </w:r>
      <w:r w:rsidR="007F2760" w:rsidRPr="009D6120">
        <w:rPr>
          <w:rFonts w:ascii="Arial" w:eastAsia="Calibri" w:hAnsi="Arial" w:cs="Arial"/>
          <w:color w:val="00B050"/>
          <w:sz w:val="24"/>
          <w:szCs w:val="24"/>
          <w:lang w:eastAsia="en-US"/>
        </w:rPr>
        <w:t>vom</w:t>
      </w:r>
    </w:p>
    <w:p w14:paraId="35078200" w14:textId="41D5D5A8" w:rsidR="007F2760" w:rsidRDefault="001707EE" w:rsidP="00503386">
      <w:pPr>
        <w:overflowPunct/>
        <w:ind w:left="1134" w:right="1134"/>
        <w:jc w:val="both"/>
        <w:textAlignment w:val="auto"/>
        <w:rPr>
          <w:rFonts w:ascii="Arial" w:eastAsia="Calibri" w:hAnsi="Arial" w:cs="Arial"/>
          <w:color w:val="00B050"/>
          <w:sz w:val="24"/>
          <w:szCs w:val="24"/>
          <w:lang w:eastAsia="en-US"/>
        </w:rPr>
      </w:pPr>
      <w:r>
        <w:rPr>
          <w:rFonts w:ascii="Arial" w:eastAsia="Calibri" w:hAnsi="Arial" w:cs="Arial"/>
          <w:color w:val="00B050"/>
          <w:sz w:val="24"/>
          <w:szCs w:val="24"/>
          <w:lang w:eastAsia="en-US"/>
        </w:rPr>
        <w:t xml:space="preserve">               </w:t>
      </w:r>
      <w:r w:rsidR="007F2760" w:rsidRPr="009D6120">
        <w:rPr>
          <w:rFonts w:ascii="Arial" w:eastAsia="Calibri" w:hAnsi="Arial" w:cs="Arial"/>
          <w:color w:val="00B050"/>
          <w:sz w:val="24"/>
          <w:szCs w:val="24"/>
          <w:lang w:eastAsia="en-US"/>
        </w:rPr>
        <w:t xml:space="preserve"> </w:t>
      </w:r>
      <w:r>
        <w:rPr>
          <w:rFonts w:ascii="Arial" w:eastAsia="Calibri" w:hAnsi="Arial" w:cs="Arial"/>
          <w:color w:val="00B050"/>
          <w:sz w:val="24"/>
          <w:szCs w:val="24"/>
          <w:lang w:eastAsia="en-US"/>
        </w:rPr>
        <w:t xml:space="preserve">                  </w:t>
      </w:r>
      <w:r w:rsidR="007F2760" w:rsidRPr="009D6120">
        <w:rPr>
          <w:rFonts w:ascii="Arial" w:eastAsia="Calibri" w:hAnsi="Arial" w:cs="Arial"/>
          <w:color w:val="00B050"/>
          <w:sz w:val="24"/>
          <w:szCs w:val="24"/>
          <w:lang w:eastAsia="en-US"/>
        </w:rPr>
        <w:t xml:space="preserve">aufzuheben und </w:t>
      </w:r>
      <w:r w:rsidR="006518A6" w:rsidRPr="009D6120">
        <w:rPr>
          <w:rFonts w:ascii="Arial" w:eastAsia="Calibri" w:hAnsi="Arial" w:cs="Arial"/>
          <w:color w:val="00B050"/>
          <w:sz w:val="24"/>
          <w:szCs w:val="24"/>
          <w:lang w:eastAsia="en-US"/>
        </w:rPr>
        <w:t xml:space="preserve">festzustellen, dass die </w:t>
      </w:r>
      <w:r w:rsidR="004F5B75">
        <w:rPr>
          <w:rFonts w:ascii="Arial" w:eastAsia="Calibri" w:hAnsi="Arial" w:cs="Arial"/>
          <w:color w:val="00B050"/>
          <w:sz w:val="24"/>
          <w:szCs w:val="24"/>
          <w:lang w:eastAsia="en-US"/>
        </w:rPr>
        <w:t xml:space="preserve">ihm </w:t>
      </w:r>
      <w:r w:rsidR="006518A6" w:rsidRPr="009D6120">
        <w:rPr>
          <w:rFonts w:ascii="Arial" w:eastAsia="Calibri" w:hAnsi="Arial" w:cs="Arial"/>
          <w:color w:val="00B050"/>
          <w:sz w:val="24"/>
          <w:szCs w:val="24"/>
          <w:lang w:eastAsia="en-US"/>
        </w:rPr>
        <w:t>in der Zeit vom 1. Januar 2016 bis zum 31. Dezember 20</w:t>
      </w:r>
      <w:r w:rsidR="00DF3B26">
        <w:rPr>
          <w:rFonts w:ascii="Arial" w:eastAsia="Calibri" w:hAnsi="Arial" w:cs="Arial"/>
          <w:color w:val="00B050"/>
          <w:sz w:val="24"/>
          <w:szCs w:val="24"/>
          <w:lang w:eastAsia="en-US"/>
        </w:rPr>
        <w:t>20</w:t>
      </w:r>
      <w:r w:rsidR="006518A6" w:rsidRPr="009D6120">
        <w:rPr>
          <w:rFonts w:ascii="Arial" w:eastAsia="Calibri" w:hAnsi="Arial" w:cs="Arial"/>
          <w:color w:val="00B050"/>
          <w:sz w:val="24"/>
          <w:szCs w:val="24"/>
          <w:lang w:eastAsia="en-US"/>
        </w:rPr>
        <w:t xml:space="preserve"> gewährte Alimentation verfassungswidrig zu niedrig ist.</w:t>
      </w:r>
    </w:p>
    <w:p w14:paraId="258E5BBA" w14:textId="77777777" w:rsidR="00503386" w:rsidRPr="009D6120" w:rsidRDefault="00503386" w:rsidP="00503386">
      <w:pPr>
        <w:overflowPunct/>
        <w:spacing w:line="276" w:lineRule="auto"/>
        <w:ind w:left="1134" w:right="1134"/>
        <w:jc w:val="both"/>
        <w:textAlignment w:val="auto"/>
        <w:rPr>
          <w:rFonts w:ascii="Arial" w:eastAsia="Calibri" w:hAnsi="Arial" w:cs="Arial"/>
          <w:color w:val="00B050"/>
          <w:sz w:val="24"/>
          <w:szCs w:val="24"/>
          <w:lang w:eastAsia="en-US"/>
        </w:rPr>
      </w:pPr>
    </w:p>
    <w:p w14:paraId="2FF17156" w14:textId="5F9488E9" w:rsidR="007F2760" w:rsidRDefault="00DE4F8D" w:rsidP="00503386">
      <w:pPr>
        <w:overflowPunct/>
        <w:spacing w:line="276" w:lineRule="auto"/>
        <w:jc w:val="both"/>
        <w:textAlignment w:val="auto"/>
        <w:rPr>
          <w:rFonts w:ascii="Arial" w:eastAsia="Calibri" w:hAnsi="Arial" w:cs="Arial"/>
          <w:color w:val="00B050"/>
          <w:sz w:val="24"/>
          <w:szCs w:val="24"/>
          <w:lang w:eastAsia="en-US"/>
        </w:rPr>
      </w:pPr>
      <w:r w:rsidRPr="009D6120">
        <w:rPr>
          <w:rFonts w:ascii="Arial" w:eastAsia="Calibri" w:hAnsi="Arial" w:cs="Arial"/>
          <w:color w:val="00B050"/>
          <w:sz w:val="24"/>
          <w:szCs w:val="24"/>
          <w:lang w:eastAsia="en-US"/>
        </w:rPr>
        <w:t xml:space="preserve">Das beklagte Land </w:t>
      </w:r>
      <w:r w:rsidR="005D7905">
        <w:rPr>
          <w:rFonts w:ascii="Arial" w:eastAsia="Calibri" w:hAnsi="Arial" w:cs="Arial"/>
          <w:color w:val="00B050"/>
          <w:sz w:val="24"/>
          <w:szCs w:val="24"/>
          <w:lang w:eastAsia="en-US"/>
        </w:rPr>
        <w:t xml:space="preserve">hat angekündigt zu </w:t>
      </w:r>
      <w:r w:rsidRPr="009D6120">
        <w:rPr>
          <w:rFonts w:ascii="Arial" w:eastAsia="Calibri" w:hAnsi="Arial" w:cs="Arial"/>
          <w:color w:val="00B050"/>
          <w:sz w:val="24"/>
          <w:szCs w:val="24"/>
          <w:lang w:eastAsia="en-US"/>
        </w:rPr>
        <w:t>beantrag</w:t>
      </w:r>
      <w:r w:rsidR="005D7905">
        <w:rPr>
          <w:rFonts w:ascii="Arial" w:eastAsia="Calibri" w:hAnsi="Arial" w:cs="Arial"/>
          <w:color w:val="00B050"/>
          <w:sz w:val="24"/>
          <w:szCs w:val="24"/>
          <w:lang w:eastAsia="en-US"/>
        </w:rPr>
        <w:t>en</w:t>
      </w:r>
      <w:r w:rsidRPr="009D6120">
        <w:rPr>
          <w:rFonts w:ascii="Arial" w:eastAsia="Calibri" w:hAnsi="Arial" w:cs="Arial"/>
          <w:color w:val="00B050"/>
          <w:sz w:val="24"/>
          <w:szCs w:val="24"/>
          <w:lang w:eastAsia="en-US"/>
        </w:rPr>
        <w:t>,</w:t>
      </w:r>
    </w:p>
    <w:p w14:paraId="7AFCA7BC" w14:textId="77777777" w:rsidR="00503386" w:rsidRPr="009D6120" w:rsidRDefault="00503386" w:rsidP="00503386">
      <w:pPr>
        <w:overflowPunct/>
        <w:spacing w:line="276" w:lineRule="auto"/>
        <w:jc w:val="both"/>
        <w:textAlignment w:val="auto"/>
        <w:rPr>
          <w:rFonts w:ascii="Arial" w:eastAsia="Calibri" w:hAnsi="Arial" w:cs="Arial"/>
          <w:color w:val="00B050"/>
          <w:sz w:val="24"/>
          <w:szCs w:val="24"/>
          <w:lang w:eastAsia="en-US"/>
        </w:rPr>
      </w:pPr>
    </w:p>
    <w:p w14:paraId="760F607C" w14:textId="3E88FA8D" w:rsidR="007F2760" w:rsidRPr="009D6120" w:rsidRDefault="00DE4F8D" w:rsidP="00503386">
      <w:pPr>
        <w:overflowPunct/>
        <w:spacing w:line="276" w:lineRule="auto"/>
        <w:ind w:left="1134" w:right="1134"/>
        <w:jc w:val="both"/>
        <w:textAlignment w:val="auto"/>
        <w:rPr>
          <w:rFonts w:ascii="Arial" w:eastAsia="Calibri" w:hAnsi="Arial" w:cs="Arial"/>
          <w:color w:val="00B050"/>
          <w:sz w:val="24"/>
          <w:szCs w:val="24"/>
          <w:lang w:eastAsia="en-US"/>
        </w:rPr>
      </w:pPr>
      <w:r w:rsidRPr="009D6120">
        <w:rPr>
          <w:rFonts w:ascii="Arial" w:eastAsia="Calibri" w:hAnsi="Arial" w:cs="Arial"/>
          <w:color w:val="00B050"/>
          <w:sz w:val="24"/>
          <w:szCs w:val="24"/>
          <w:lang w:eastAsia="en-US"/>
        </w:rPr>
        <w:t>die Klage abzuweisen.</w:t>
      </w:r>
    </w:p>
    <w:p w14:paraId="4EF6A8B9" w14:textId="2CC178E1" w:rsidR="007F2760" w:rsidRPr="002D1E18" w:rsidRDefault="007F2760" w:rsidP="00503386">
      <w:pPr>
        <w:overflowPunct/>
        <w:spacing w:line="276" w:lineRule="auto"/>
        <w:jc w:val="both"/>
        <w:textAlignment w:val="auto"/>
        <w:rPr>
          <w:rFonts w:ascii="Arial" w:eastAsia="Calibri" w:hAnsi="Arial" w:cs="Arial"/>
          <w:color w:val="00B050"/>
          <w:sz w:val="24"/>
          <w:szCs w:val="24"/>
          <w:lang w:eastAsia="en-US"/>
        </w:rPr>
      </w:pPr>
      <w:bookmarkStart w:id="7" w:name="_Hlk88738672"/>
    </w:p>
    <w:p w14:paraId="62E90C69" w14:textId="5A0CB2DF" w:rsidR="008D61EF" w:rsidRDefault="008D61EF" w:rsidP="00503386">
      <w:pPr>
        <w:overflowPunct/>
        <w:spacing w:line="276" w:lineRule="auto"/>
        <w:jc w:val="both"/>
        <w:textAlignment w:val="auto"/>
        <w:rPr>
          <w:rFonts w:ascii="Arial" w:eastAsia="Calibri" w:hAnsi="Arial" w:cs="Arial"/>
          <w:color w:val="00B050"/>
          <w:sz w:val="24"/>
          <w:szCs w:val="24"/>
          <w:lang w:eastAsia="en-US"/>
        </w:rPr>
      </w:pPr>
      <w:r>
        <w:rPr>
          <w:rFonts w:ascii="Arial" w:eastAsia="Calibri" w:hAnsi="Arial" w:cs="Arial"/>
          <w:color w:val="00B050"/>
          <w:sz w:val="24"/>
          <w:szCs w:val="24"/>
          <w:lang w:eastAsia="en-US"/>
        </w:rPr>
        <w:t>Das beklagte Land ist der Ansicht ….</w:t>
      </w:r>
    </w:p>
    <w:p w14:paraId="55267DDC" w14:textId="045D54C9" w:rsidR="008D61EF" w:rsidRDefault="008D61EF" w:rsidP="00503386">
      <w:pPr>
        <w:overflowPunct/>
        <w:spacing w:line="276" w:lineRule="auto"/>
        <w:jc w:val="both"/>
        <w:textAlignment w:val="auto"/>
        <w:rPr>
          <w:rFonts w:ascii="Arial" w:eastAsia="Calibri" w:hAnsi="Arial" w:cs="Arial"/>
          <w:color w:val="00B050"/>
          <w:sz w:val="24"/>
          <w:szCs w:val="24"/>
          <w:lang w:eastAsia="en-US"/>
        </w:rPr>
      </w:pPr>
    </w:p>
    <w:p w14:paraId="0B8A584C" w14:textId="77777777" w:rsidR="008D61EF" w:rsidRDefault="008D61EF" w:rsidP="00503386">
      <w:pPr>
        <w:overflowPunct/>
        <w:spacing w:line="276" w:lineRule="auto"/>
        <w:jc w:val="both"/>
        <w:textAlignment w:val="auto"/>
        <w:rPr>
          <w:rFonts w:ascii="Arial" w:eastAsia="Calibri" w:hAnsi="Arial" w:cs="Arial"/>
          <w:color w:val="00B050"/>
          <w:sz w:val="24"/>
          <w:szCs w:val="24"/>
          <w:lang w:eastAsia="en-US"/>
        </w:rPr>
      </w:pPr>
    </w:p>
    <w:p w14:paraId="3879CCF1" w14:textId="627AE1E4" w:rsidR="002469E2" w:rsidRPr="0008359F" w:rsidRDefault="002469E2" w:rsidP="00503386">
      <w:pPr>
        <w:overflowPunct/>
        <w:spacing w:line="276" w:lineRule="auto"/>
        <w:jc w:val="both"/>
        <w:textAlignment w:val="auto"/>
        <w:rPr>
          <w:rFonts w:ascii="Arial" w:eastAsia="Calibri" w:hAnsi="Arial" w:cs="Arial"/>
          <w:sz w:val="24"/>
          <w:szCs w:val="24"/>
          <w:lang w:eastAsia="en-US"/>
        </w:rPr>
      </w:pPr>
      <w:r w:rsidRPr="002D1E18">
        <w:rPr>
          <w:rFonts w:ascii="Arial" w:eastAsia="Calibri" w:hAnsi="Arial" w:cs="Arial"/>
          <w:color w:val="00B050"/>
          <w:sz w:val="24"/>
          <w:szCs w:val="24"/>
          <w:lang w:eastAsia="en-US"/>
        </w:rPr>
        <w:t>Gemäß § 2 RBes</w:t>
      </w:r>
      <w:r w:rsidR="003F5AD1">
        <w:rPr>
          <w:rFonts w:ascii="Arial" w:eastAsia="Calibri" w:hAnsi="Arial" w:cs="Arial"/>
          <w:color w:val="00B050"/>
          <w:sz w:val="24"/>
          <w:szCs w:val="24"/>
          <w:lang w:eastAsia="en-US"/>
        </w:rPr>
        <w:t>2009/15</w:t>
      </w:r>
      <w:r w:rsidRPr="002D1E18">
        <w:rPr>
          <w:rFonts w:ascii="Arial" w:eastAsia="Calibri" w:hAnsi="Arial" w:cs="Arial"/>
          <w:color w:val="00B050"/>
          <w:sz w:val="24"/>
          <w:szCs w:val="24"/>
          <w:lang w:eastAsia="en-US"/>
        </w:rPr>
        <w:t xml:space="preserve">RepG </w:t>
      </w:r>
      <w:r w:rsidR="00510362">
        <w:rPr>
          <w:rFonts w:ascii="Arial" w:eastAsia="Calibri" w:hAnsi="Arial" w:cs="Arial"/>
          <w:color w:val="00B050"/>
          <w:sz w:val="24"/>
          <w:szCs w:val="24"/>
          <w:lang w:eastAsia="en-US"/>
        </w:rPr>
        <w:t>hat der</w:t>
      </w:r>
      <w:r w:rsidR="002D1E18" w:rsidRPr="002D1E18">
        <w:rPr>
          <w:rFonts w:ascii="Arial" w:eastAsia="Calibri" w:hAnsi="Arial" w:cs="Arial"/>
          <w:color w:val="00B050"/>
          <w:sz w:val="24"/>
          <w:szCs w:val="24"/>
          <w:lang w:eastAsia="en-US"/>
        </w:rPr>
        <w:t xml:space="preserve"> Kläger </w:t>
      </w:r>
      <w:r w:rsidRPr="002D1E18">
        <w:rPr>
          <w:rFonts w:ascii="Arial" w:eastAsia="Calibri" w:hAnsi="Arial" w:cs="Arial"/>
          <w:color w:val="00B050"/>
          <w:sz w:val="24"/>
          <w:szCs w:val="24"/>
          <w:lang w:eastAsia="en-US"/>
        </w:rPr>
        <w:t xml:space="preserve">Nachzahlungen </w:t>
      </w:r>
      <w:r w:rsidR="00510362">
        <w:rPr>
          <w:rFonts w:ascii="Arial" w:eastAsia="Calibri" w:hAnsi="Arial" w:cs="Arial"/>
          <w:color w:val="00B050"/>
          <w:sz w:val="24"/>
          <w:szCs w:val="24"/>
          <w:lang w:eastAsia="en-US"/>
        </w:rPr>
        <w:t>für die Jahre ………………….</w:t>
      </w:r>
      <w:r w:rsidR="002D1E18" w:rsidRPr="002D1E18">
        <w:rPr>
          <w:rFonts w:ascii="Arial" w:eastAsia="Calibri" w:hAnsi="Arial" w:cs="Arial"/>
          <w:color w:val="00B050"/>
          <w:sz w:val="24"/>
          <w:szCs w:val="24"/>
          <w:lang w:eastAsia="en-US"/>
        </w:rPr>
        <w:t>erhalten</w:t>
      </w:r>
      <w:r w:rsidR="008B62C7">
        <w:rPr>
          <w:rFonts w:ascii="Arial" w:eastAsia="Calibri" w:hAnsi="Arial" w:cs="Arial"/>
          <w:color w:val="00B050"/>
          <w:sz w:val="24"/>
          <w:szCs w:val="24"/>
          <w:lang w:eastAsia="en-US"/>
        </w:rPr>
        <w:t>.</w:t>
      </w:r>
      <w:r w:rsidR="003F5AD1">
        <w:rPr>
          <w:rFonts w:ascii="Arial" w:eastAsia="Calibri" w:hAnsi="Arial" w:cs="Arial"/>
          <w:color w:val="00B050"/>
          <w:sz w:val="24"/>
          <w:szCs w:val="24"/>
          <w:lang w:eastAsia="en-US"/>
        </w:rPr>
        <w:t xml:space="preserve"> Die Besoldungshöhen für diese Jahre sind nicht Gegenstand der Vorlageentscheidung.</w:t>
      </w:r>
    </w:p>
    <w:p w14:paraId="7FE6081E" w14:textId="77777777" w:rsidR="00FF4261" w:rsidRDefault="00FF4261" w:rsidP="00503386">
      <w:pPr>
        <w:overflowPunct/>
        <w:spacing w:line="276" w:lineRule="auto"/>
        <w:jc w:val="both"/>
        <w:textAlignment w:val="auto"/>
        <w:rPr>
          <w:rFonts w:ascii="Arial" w:eastAsia="Calibri" w:hAnsi="Arial" w:cs="Arial"/>
          <w:sz w:val="24"/>
          <w:szCs w:val="24"/>
          <w:lang w:eastAsia="en-US"/>
        </w:rPr>
      </w:pPr>
    </w:p>
    <w:p w14:paraId="15471CEB" w14:textId="0BDEDD8C" w:rsidR="00526933" w:rsidRPr="0008359F" w:rsidRDefault="00526933" w:rsidP="00503386">
      <w:pPr>
        <w:overflowPunct/>
        <w:spacing w:line="276" w:lineRule="auto"/>
        <w:jc w:val="both"/>
        <w:textAlignment w:val="auto"/>
        <w:rPr>
          <w:rFonts w:ascii="Arial" w:eastAsia="Calibri" w:hAnsi="Arial" w:cs="Arial"/>
          <w:sz w:val="24"/>
          <w:szCs w:val="24"/>
          <w:lang w:eastAsia="en-US"/>
        </w:rPr>
      </w:pPr>
      <w:r w:rsidRPr="0008359F">
        <w:rPr>
          <w:rFonts w:ascii="Arial" w:eastAsia="Calibri" w:hAnsi="Arial" w:cs="Arial"/>
          <w:sz w:val="24"/>
          <w:szCs w:val="24"/>
          <w:lang w:eastAsia="en-US"/>
        </w:rPr>
        <w:t>Hinsichtlich weiterer Einzelheiten des Sach- und Streitstandes wird auf die Gerichtsakten sowie die beigezogenen</w:t>
      </w:r>
      <w:r w:rsidR="005A42EA" w:rsidRPr="0008359F">
        <w:rPr>
          <w:rFonts w:ascii="Arial" w:eastAsia="Calibri" w:hAnsi="Arial" w:cs="Arial"/>
          <w:sz w:val="24"/>
          <w:szCs w:val="24"/>
          <w:lang w:eastAsia="en-US"/>
        </w:rPr>
        <w:t xml:space="preserve"> Behördenakten verwiesen. </w:t>
      </w:r>
    </w:p>
    <w:bookmarkEnd w:id="7"/>
    <w:p w14:paraId="64E54547" w14:textId="6D5BEE77" w:rsidR="001003ED" w:rsidRDefault="001003ED" w:rsidP="00503386">
      <w:pPr>
        <w:overflowPunct/>
        <w:autoSpaceDE/>
        <w:autoSpaceDN/>
        <w:adjustRightInd/>
        <w:spacing w:line="276" w:lineRule="auto"/>
        <w:jc w:val="both"/>
        <w:textAlignment w:val="auto"/>
        <w:rPr>
          <w:rFonts w:ascii="Arial" w:eastAsia="Calibri" w:hAnsi="Arial" w:cs="Arial"/>
          <w:sz w:val="24"/>
          <w:szCs w:val="24"/>
          <w:lang w:eastAsia="en-US"/>
        </w:rPr>
      </w:pPr>
    </w:p>
    <w:p w14:paraId="7AD8334D" w14:textId="512924E2" w:rsidR="00EB750D" w:rsidRDefault="00EB750D" w:rsidP="00503386">
      <w:pPr>
        <w:overflowPunct/>
        <w:autoSpaceDE/>
        <w:autoSpaceDN/>
        <w:adjustRightInd/>
        <w:spacing w:line="276" w:lineRule="auto"/>
        <w:jc w:val="both"/>
        <w:textAlignment w:val="auto"/>
        <w:rPr>
          <w:rFonts w:ascii="Arial" w:eastAsia="Calibri" w:hAnsi="Arial" w:cs="Arial"/>
          <w:sz w:val="24"/>
          <w:szCs w:val="24"/>
          <w:lang w:eastAsia="en-US"/>
        </w:rPr>
      </w:pPr>
    </w:p>
    <w:p w14:paraId="3278C785" w14:textId="77777777" w:rsidR="00EB750D" w:rsidRDefault="00EB750D" w:rsidP="00503386">
      <w:pPr>
        <w:overflowPunct/>
        <w:autoSpaceDE/>
        <w:autoSpaceDN/>
        <w:adjustRightInd/>
        <w:spacing w:line="276" w:lineRule="auto"/>
        <w:jc w:val="both"/>
        <w:textAlignment w:val="auto"/>
        <w:rPr>
          <w:rFonts w:ascii="Arial" w:eastAsia="Calibri" w:hAnsi="Arial" w:cs="Arial"/>
          <w:sz w:val="24"/>
          <w:szCs w:val="24"/>
          <w:lang w:eastAsia="en-US"/>
        </w:rPr>
      </w:pPr>
    </w:p>
    <w:p w14:paraId="36F361FA" w14:textId="77777777" w:rsidR="00AD40EC" w:rsidRDefault="00AD40EC">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br w:type="page"/>
      </w:r>
    </w:p>
    <w:p w14:paraId="18B07287" w14:textId="7BE262C0" w:rsidR="005A42EA" w:rsidRDefault="00AD5A2F"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C</w:t>
      </w:r>
      <w:r w:rsidR="005A42EA">
        <w:rPr>
          <w:rFonts w:ascii="Arial" w:eastAsia="Calibri" w:hAnsi="Arial" w:cs="Arial"/>
          <w:sz w:val="24"/>
          <w:szCs w:val="24"/>
          <w:lang w:eastAsia="en-US"/>
        </w:rPr>
        <w:t>.</w:t>
      </w:r>
    </w:p>
    <w:p w14:paraId="54ED4AE7" w14:textId="77777777" w:rsidR="008225EC" w:rsidRDefault="008225EC" w:rsidP="00503386">
      <w:pPr>
        <w:overflowPunct/>
        <w:spacing w:line="276" w:lineRule="auto"/>
        <w:jc w:val="center"/>
        <w:textAlignment w:val="auto"/>
        <w:rPr>
          <w:rFonts w:ascii="Arial" w:eastAsia="Calibri" w:hAnsi="Arial" w:cs="Arial"/>
          <w:sz w:val="24"/>
          <w:szCs w:val="24"/>
          <w:lang w:eastAsia="en-US"/>
        </w:rPr>
      </w:pPr>
    </w:p>
    <w:p w14:paraId="4AEA1454" w14:textId="65AD6EF6" w:rsidR="008225EC" w:rsidRDefault="00926D30" w:rsidP="00503386">
      <w:pPr>
        <w:overflowPunct/>
        <w:spacing w:line="276" w:lineRule="auto"/>
        <w:jc w:val="both"/>
        <w:textAlignment w:val="auto"/>
        <w:rPr>
          <w:rFonts w:ascii="Arial" w:eastAsia="Calibri" w:hAnsi="Arial" w:cs="Arial"/>
          <w:sz w:val="24"/>
          <w:szCs w:val="24"/>
          <w:lang w:eastAsia="en-US"/>
        </w:rPr>
      </w:pPr>
      <w:bookmarkStart w:id="8" w:name="_Hlk89871759"/>
      <w:r w:rsidRPr="00926D30">
        <w:rPr>
          <w:rFonts w:ascii="Arial" w:eastAsia="Calibri" w:hAnsi="Arial" w:cs="Arial"/>
          <w:sz w:val="24"/>
          <w:szCs w:val="24"/>
          <w:lang w:eastAsia="en-US"/>
        </w:rPr>
        <w:t xml:space="preserve">Die Besoldung der Richter </w:t>
      </w:r>
      <w:r w:rsidR="00E13C29">
        <w:rPr>
          <w:rFonts w:ascii="Arial" w:eastAsia="Calibri" w:hAnsi="Arial" w:cs="Arial"/>
          <w:sz w:val="24"/>
          <w:szCs w:val="24"/>
          <w:lang w:eastAsia="en-US"/>
        </w:rPr>
        <w:t xml:space="preserve">und Staatsanwälte </w:t>
      </w:r>
      <w:r w:rsidRPr="00926D30">
        <w:rPr>
          <w:rFonts w:ascii="Arial" w:eastAsia="Calibri" w:hAnsi="Arial" w:cs="Arial"/>
          <w:sz w:val="24"/>
          <w:szCs w:val="24"/>
          <w:lang w:eastAsia="en-US"/>
        </w:rPr>
        <w:t xml:space="preserve">im beklagten Land Berlin war nach Auffassung des </w:t>
      </w:r>
      <w:r w:rsidR="00C5126E">
        <w:rPr>
          <w:rFonts w:ascii="Arial" w:eastAsia="Calibri" w:hAnsi="Arial" w:cs="Arial"/>
          <w:sz w:val="24"/>
          <w:szCs w:val="24"/>
          <w:lang w:eastAsia="en-US"/>
        </w:rPr>
        <w:t>vorlegenden</w:t>
      </w:r>
      <w:r w:rsidRPr="00926D30">
        <w:rPr>
          <w:rFonts w:ascii="Arial" w:eastAsia="Calibri" w:hAnsi="Arial" w:cs="Arial"/>
          <w:sz w:val="24"/>
          <w:szCs w:val="24"/>
          <w:lang w:eastAsia="en-US"/>
        </w:rPr>
        <w:t xml:space="preserve"> </w:t>
      </w:r>
      <w:r>
        <w:rPr>
          <w:rFonts w:ascii="Arial" w:eastAsia="Calibri" w:hAnsi="Arial" w:cs="Arial"/>
          <w:sz w:val="24"/>
          <w:szCs w:val="24"/>
          <w:lang w:eastAsia="en-US"/>
        </w:rPr>
        <w:t>Gerichts</w:t>
      </w:r>
      <w:r w:rsidRPr="00926D30">
        <w:rPr>
          <w:rFonts w:ascii="Arial" w:eastAsia="Calibri" w:hAnsi="Arial" w:cs="Arial"/>
          <w:sz w:val="24"/>
          <w:szCs w:val="24"/>
          <w:lang w:eastAsia="en-US"/>
        </w:rPr>
        <w:t xml:space="preserve"> in den Jahren </w:t>
      </w:r>
      <w:r>
        <w:rPr>
          <w:rFonts w:ascii="Arial" w:eastAsia="Calibri" w:hAnsi="Arial" w:cs="Arial"/>
          <w:sz w:val="24"/>
          <w:szCs w:val="24"/>
          <w:lang w:eastAsia="en-US"/>
        </w:rPr>
        <w:t xml:space="preserve">2016 </w:t>
      </w:r>
      <w:r w:rsidRPr="00926D30">
        <w:rPr>
          <w:rFonts w:ascii="Arial" w:eastAsia="Calibri" w:hAnsi="Arial" w:cs="Arial"/>
          <w:sz w:val="24"/>
          <w:szCs w:val="24"/>
          <w:lang w:eastAsia="en-US"/>
        </w:rPr>
        <w:t>bis 20</w:t>
      </w:r>
      <w:r w:rsidR="00DF3B26">
        <w:rPr>
          <w:rFonts w:ascii="Arial" w:eastAsia="Calibri" w:hAnsi="Arial" w:cs="Arial"/>
          <w:sz w:val="24"/>
          <w:szCs w:val="24"/>
          <w:lang w:eastAsia="en-US"/>
        </w:rPr>
        <w:t>20</w:t>
      </w:r>
      <w:r w:rsidRPr="00926D30">
        <w:rPr>
          <w:rFonts w:ascii="Arial" w:eastAsia="Calibri" w:hAnsi="Arial" w:cs="Arial"/>
          <w:sz w:val="24"/>
          <w:szCs w:val="24"/>
          <w:lang w:eastAsia="en-US"/>
        </w:rPr>
        <w:t xml:space="preserve"> mit Art. 33 Abs. 5 i.V.m. Art. 33 Abs. 2 GG nicht vereinbar und verfassungswidrig zu niedrig bemessen. </w:t>
      </w:r>
      <w:bookmarkEnd w:id="8"/>
    </w:p>
    <w:p w14:paraId="4D26B6E6" w14:textId="77777777" w:rsidR="008225EC" w:rsidRDefault="008225EC" w:rsidP="00503386">
      <w:pPr>
        <w:overflowPunct/>
        <w:spacing w:line="276" w:lineRule="auto"/>
        <w:jc w:val="both"/>
        <w:textAlignment w:val="auto"/>
        <w:rPr>
          <w:rFonts w:ascii="Arial" w:eastAsia="Calibri" w:hAnsi="Arial" w:cs="Arial"/>
          <w:sz w:val="24"/>
          <w:szCs w:val="24"/>
          <w:lang w:eastAsia="en-US"/>
        </w:rPr>
      </w:pPr>
    </w:p>
    <w:p w14:paraId="62C2BB36" w14:textId="3707ED4B" w:rsidR="009F2456" w:rsidRDefault="00926D30" w:rsidP="00503386">
      <w:pPr>
        <w:overflowPunct/>
        <w:spacing w:line="276" w:lineRule="auto"/>
        <w:jc w:val="both"/>
        <w:textAlignment w:val="auto"/>
        <w:rPr>
          <w:rFonts w:ascii="Arial" w:eastAsia="Calibri" w:hAnsi="Arial" w:cs="Arial"/>
          <w:sz w:val="24"/>
          <w:szCs w:val="24"/>
          <w:lang w:eastAsia="en-US"/>
        </w:rPr>
      </w:pPr>
      <w:r w:rsidRPr="00926D30">
        <w:rPr>
          <w:rFonts w:ascii="Arial" w:eastAsia="Calibri" w:hAnsi="Arial" w:cs="Arial"/>
          <w:sz w:val="24"/>
          <w:szCs w:val="24"/>
          <w:lang w:eastAsia="en-US"/>
        </w:rPr>
        <w:t>Zu der hieraus folgenden und von den Klä</w:t>
      </w:r>
      <w:r>
        <w:rPr>
          <w:rFonts w:ascii="Arial" w:eastAsia="Calibri" w:hAnsi="Arial" w:cs="Arial"/>
          <w:sz w:val="24"/>
          <w:szCs w:val="24"/>
          <w:lang w:eastAsia="en-US"/>
        </w:rPr>
        <w:t>gern</w:t>
      </w:r>
      <w:r w:rsidRPr="00926D30">
        <w:rPr>
          <w:rFonts w:ascii="Arial" w:eastAsia="Calibri" w:hAnsi="Arial" w:cs="Arial"/>
          <w:sz w:val="24"/>
          <w:szCs w:val="24"/>
          <w:lang w:eastAsia="en-US"/>
        </w:rPr>
        <w:t xml:space="preserve"> begehrten Feststellung ist das </w:t>
      </w:r>
      <w:r>
        <w:rPr>
          <w:rFonts w:ascii="Arial" w:eastAsia="Calibri" w:hAnsi="Arial" w:cs="Arial"/>
          <w:sz w:val="24"/>
          <w:szCs w:val="24"/>
          <w:lang w:eastAsia="en-US"/>
        </w:rPr>
        <w:t>Verwaltungsgericht Berlin</w:t>
      </w:r>
      <w:r w:rsidRPr="00926D30">
        <w:rPr>
          <w:rFonts w:ascii="Arial" w:eastAsia="Calibri" w:hAnsi="Arial" w:cs="Arial"/>
          <w:sz w:val="24"/>
          <w:szCs w:val="24"/>
          <w:lang w:eastAsia="en-US"/>
        </w:rPr>
        <w:t xml:space="preserve"> indes nicht befugt. Die Höhe der Bezüge ist unmittelbar durch Gesetz geregelt. Einer verfassungskonform abweichenden Auslegung sind die in Zahlenwerten formulierten Vorschriften nicht zugänglich. Die Feststellung kann daher nicht getroffen werden, ohne die Gültigkeit der maßgeblichen Besoldungsgesetze in Frage zu stellen. Das Verfahren muss deshalb gemäß Art. 100 Abs. 1 Satz 2 Alt. 1 GG, § 13 Nr. 11 i.V.m. § 80 Abs. 1 BVerfGG ausgesetzt und dem Bundesverfassungsgericht zur Entscheidung darüber vorgelegt werden, ob die für die Besoldung der Richter und Staatsanwälte </w:t>
      </w:r>
      <w:r w:rsidR="00F85025">
        <w:rPr>
          <w:rFonts w:ascii="Arial" w:eastAsia="Calibri" w:hAnsi="Arial" w:cs="Arial"/>
          <w:sz w:val="24"/>
          <w:szCs w:val="24"/>
          <w:lang w:eastAsia="en-US"/>
        </w:rPr>
        <w:t xml:space="preserve">im Land Berlin </w:t>
      </w:r>
      <w:r w:rsidRPr="00926D30">
        <w:rPr>
          <w:rFonts w:ascii="Arial" w:eastAsia="Calibri" w:hAnsi="Arial" w:cs="Arial"/>
          <w:sz w:val="24"/>
          <w:szCs w:val="24"/>
          <w:lang w:eastAsia="en-US"/>
        </w:rPr>
        <w:t>in den Jahren 20</w:t>
      </w:r>
      <w:r>
        <w:rPr>
          <w:rFonts w:ascii="Arial" w:eastAsia="Calibri" w:hAnsi="Arial" w:cs="Arial"/>
          <w:sz w:val="24"/>
          <w:szCs w:val="24"/>
          <w:lang w:eastAsia="en-US"/>
        </w:rPr>
        <w:t>16</w:t>
      </w:r>
      <w:r w:rsidRPr="00926D30">
        <w:rPr>
          <w:rFonts w:ascii="Arial" w:eastAsia="Calibri" w:hAnsi="Arial" w:cs="Arial"/>
          <w:sz w:val="24"/>
          <w:szCs w:val="24"/>
          <w:lang w:eastAsia="en-US"/>
        </w:rPr>
        <w:t xml:space="preserve"> bis 20</w:t>
      </w:r>
      <w:r w:rsidR="00DF3B26">
        <w:rPr>
          <w:rFonts w:ascii="Arial" w:eastAsia="Calibri" w:hAnsi="Arial" w:cs="Arial"/>
          <w:sz w:val="24"/>
          <w:szCs w:val="24"/>
          <w:lang w:eastAsia="en-US"/>
        </w:rPr>
        <w:t>20</w:t>
      </w:r>
      <w:r w:rsidRPr="00926D30">
        <w:rPr>
          <w:rFonts w:ascii="Arial" w:eastAsia="Calibri" w:hAnsi="Arial" w:cs="Arial"/>
          <w:sz w:val="24"/>
          <w:szCs w:val="24"/>
          <w:lang w:eastAsia="en-US"/>
        </w:rPr>
        <w:t xml:space="preserve"> maßgeblichen Besoldungsgesetze mit dem Grundgesetz vereinbar waren.</w:t>
      </w:r>
    </w:p>
    <w:p w14:paraId="0824410D" w14:textId="77777777" w:rsidR="009F2456" w:rsidRDefault="009F2456" w:rsidP="00503386">
      <w:pPr>
        <w:overflowPunct/>
        <w:spacing w:line="276" w:lineRule="auto"/>
        <w:jc w:val="both"/>
        <w:textAlignment w:val="auto"/>
        <w:rPr>
          <w:rFonts w:ascii="Arial" w:eastAsia="Calibri" w:hAnsi="Arial" w:cs="Arial"/>
          <w:sz w:val="24"/>
          <w:szCs w:val="24"/>
          <w:lang w:eastAsia="en-US"/>
        </w:rPr>
      </w:pPr>
    </w:p>
    <w:p w14:paraId="6A229C65" w14:textId="4DB4EB13" w:rsidR="009F2456" w:rsidRDefault="009F2456" w:rsidP="009F2456">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Die dem Bundesverfassungsgericht vorgelegte Frage stellt sich </w:t>
      </w:r>
      <w:r w:rsidR="00A7088B">
        <w:rPr>
          <w:rFonts w:ascii="Arial" w:eastAsia="Calibri" w:hAnsi="Arial" w:cs="Arial"/>
          <w:sz w:val="24"/>
          <w:szCs w:val="24"/>
          <w:lang w:eastAsia="en-US"/>
        </w:rPr>
        <w:t xml:space="preserve">auch </w:t>
      </w:r>
      <w:r>
        <w:rPr>
          <w:rFonts w:ascii="Arial" w:eastAsia="Calibri" w:hAnsi="Arial" w:cs="Arial"/>
          <w:sz w:val="24"/>
          <w:szCs w:val="24"/>
          <w:lang w:eastAsia="en-US"/>
        </w:rPr>
        <w:t xml:space="preserve">als entscheidungserheblich dar. Die </w:t>
      </w:r>
      <w:r w:rsidR="004013F7">
        <w:rPr>
          <w:rFonts w:ascii="Arial" w:eastAsia="Calibri" w:hAnsi="Arial" w:cs="Arial"/>
          <w:sz w:val="24"/>
          <w:szCs w:val="24"/>
          <w:lang w:eastAsia="en-US"/>
        </w:rPr>
        <w:t xml:space="preserve">zulässige </w:t>
      </w:r>
      <w:r>
        <w:rPr>
          <w:rFonts w:ascii="Arial" w:eastAsia="Calibri" w:hAnsi="Arial" w:cs="Arial"/>
          <w:sz w:val="24"/>
          <w:szCs w:val="24"/>
          <w:lang w:eastAsia="en-US"/>
        </w:rPr>
        <w:t>Klage wäre begründet, soweit sich die dem Bundesverfassungsgericht zur konkreten Normkontrolle vorgelegten Rechtsnormen deshalb als verfassungswidrig erweisen, weil die dem Kläger auf ihrer Grundlage gewährte Besoldung in den Jahren 2016 bis 2020 mit Art. 33 Abs. 5 GG nicht vereinbar</w:t>
      </w:r>
      <w:r w:rsidR="00AD5A2F">
        <w:rPr>
          <w:rFonts w:ascii="Arial" w:eastAsia="Calibri" w:hAnsi="Arial" w:cs="Arial"/>
          <w:sz w:val="24"/>
          <w:szCs w:val="24"/>
          <w:lang w:eastAsia="en-US"/>
        </w:rPr>
        <w:t xml:space="preserve"> war</w:t>
      </w:r>
      <w:r>
        <w:rPr>
          <w:rFonts w:ascii="Arial" w:eastAsia="Calibri" w:hAnsi="Arial" w:cs="Arial"/>
          <w:sz w:val="24"/>
          <w:szCs w:val="24"/>
          <w:lang w:eastAsia="en-US"/>
        </w:rPr>
        <w:t>, nämlich die Besoldung in verfassungswidriger Weise zu niedrig bemessen war. Im Übrigen wäre sie unbegründet.</w:t>
      </w:r>
    </w:p>
    <w:p w14:paraId="0FD68434" w14:textId="58C13BE9" w:rsidR="005A42EA" w:rsidRDefault="00926D30" w:rsidP="00503386">
      <w:pPr>
        <w:overflowPunct/>
        <w:spacing w:line="276" w:lineRule="auto"/>
        <w:jc w:val="both"/>
        <w:textAlignment w:val="auto"/>
        <w:rPr>
          <w:rFonts w:ascii="Arial" w:eastAsia="Calibri" w:hAnsi="Arial" w:cs="Arial"/>
          <w:sz w:val="24"/>
          <w:szCs w:val="24"/>
          <w:lang w:eastAsia="en-US"/>
        </w:rPr>
      </w:pPr>
      <w:r w:rsidRPr="00926D30">
        <w:rPr>
          <w:rFonts w:ascii="Arial" w:eastAsia="Calibri" w:hAnsi="Arial" w:cs="Arial"/>
          <w:sz w:val="24"/>
          <w:szCs w:val="24"/>
          <w:lang w:eastAsia="en-US"/>
        </w:rPr>
        <w:t xml:space="preserve">  </w:t>
      </w:r>
    </w:p>
    <w:p w14:paraId="42A06427" w14:textId="77777777" w:rsidR="008225EC" w:rsidRDefault="008225EC" w:rsidP="00503386">
      <w:pPr>
        <w:overflowPunct/>
        <w:spacing w:line="276" w:lineRule="auto"/>
        <w:jc w:val="both"/>
        <w:textAlignment w:val="auto"/>
        <w:rPr>
          <w:rFonts w:ascii="Arial" w:eastAsia="Calibri" w:hAnsi="Arial" w:cs="Arial"/>
          <w:sz w:val="24"/>
          <w:szCs w:val="24"/>
          <w:lang w:eastAsia="en-US"/>
        </w:rPr>
      </w:pPr>
    </w:p>
    <w:p w14:paraId="154478AE" w14:textId="2540F23E" w:rsidR="00926D30" w:rsidRPr="00141DE2" w:rsidRDefault="00AD40EC" w:rsidP="00883D28">
      <w:pPr>
        <w:overflowPunct/>
        <w:spacing w:line="276" w:lineRule="auto"/>
        <w:jc w:val="center"/>
        <w:textAlignment w:val="auto"/>
        <w:rPr>
          <w:rFonts w:ascii="Arial" w:eastAsia="Calibri" w:hAnsi="Arial" w:cs="Arial"/>
          <w:color w:val="548DD4" w:themeColor="text2" w:themeTint="99"/>
          <w:sz w:val="24"/>
          <w:szCs w:val="24"/>
          <w:lang w:eastAsia="en-US"/>
        </w:rPr>
      </w:pPr>
      <w:r>
        <w:rPr>
          <w:rFonts w:ascii="Arial" w:eastAsia="Calibri" w:hAnsi="Arial" w:cs="Arial"/>
          <w:color w:val="548DD4" w:themeColor="text2" w:themeTint="99"/>
          <w:sz w:val="24"/>
          <w:szCs w:val="24"/>
          <w:lang w:eastAsia="en-US"/>
        </w:rPr>
        <w:t>0</w:t>
      </w:r>
      <w:r w:rsidR="00883D28" w:rsidRPr="00141DE2">
        <w:rPr>
          <w:rFonts w:ascii="Arial" w:eastAsia="Calibri" w:hAnsi="Arial" w:cs="Arial"/>
          <w:color w:val="548DD4" w:themeColor="text2" w:themeTint="99"/>
          <w:sz w:val="24"/>
          <w:szCs w:val="24"/>
          <w:lang w:eastAsia="en-US"/>
        </w:rPr>
        <w:t>.</w:t>
      </w:r>
    </w:p>
    <w:p w14:paraId="443752BB" w14:textId="5D3A6433" w:rsidR="007A26FF" w:rsidRPr="00141DE2" w:rsidRDefault="00DB4116"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Obwohl der Kläger</w:t>
      </w:r>
      <w:r w:rsidR="00BB0CD5" w:rsidRPr="00141DE2">
        <w:rPr>
          <w:rFonts w:ascii="Arial" w:eastAsia="Calibri" w:hAnsi="Arial" w:cs="Arial"/>
          <w:color w:val="548DD4" w:themeColor="text2" w:themeTint="99"/>
          <w:sz w:val="24"/>
          <w:szCs w:val="24"/>
          <w:lang w:eastAsia="en-US"/>
        </w:rPr>
        <w:t xml:space="preserve"> mit Ablauf des </w:t>
      </w:r>
      <w:r w:rsidR="0070474A">
        <w:rPr>
          <w:rFonts w:ascii="Arial" w:eastAsia="Calibri" w:hAnsi="Arial" w:cs="Arial"/>
          <w:color w:val="548DD4" w:themeColor="text2" w:themeTint="99"/>
          <w:sz w:val="24"/>
          <w:szCs w:val="24"/>
          <w:lang w:eastAsia="en-US"/>
        </w:rPr>
        <w:t xml:space="preserve">                      i</w:t>
      </w:r>
      <w:r w:rsidR="00BB0CD5" w:rsidRPr="00141DE2">
        <w:rPr>
          <w:rFonts w:ascii="Arial" w:eastAsia="Calibri" w:hAnsi="Arial" w:cs="Arial"/>
          <w:color w:val="548DD4" w:themeColor="text2" w:themeTint="99"/>
          <w:sz w:val="24"/>
          <w:szCs w:val="24"/>
          <w:lang w:eastAsia="en-US"/>
        </w:rPr>
        <w:t xml:space="preserve">n den Ruhestand getreten </w:t>
      </w:r>
      <w:r w:rsidR="00C67FA2" w:rsidRPr="00141DE2">
        <w:rPr>
          <w:rFonts w:ascii="Arial" w:eastAsia="Calibri" w:hAnsi="Arial" w:cs="Arial"/>
          <w:color w:val="548DD4" w:themeColor="text2" w:themeTint="99"/>
          <w:sz w:val="24"/>
          <w:szCs w:val="24"/>
          <w:lang w:eastAsia="en-US"/>
        </w:rPr>
        <w:t>ist</w:t>
      </w:r>
      <w:r w:rsidRPr="00141DE2">
        <w:rPr>
          <w:rFonts w:ascii="Arial" w:eastAsia="Calibri" w:hAnsi="Arial" w:cs="Arial"/>
          <w:color w:val="548DD4" w:themeColor="text2" w:themeTint="99"/>
          <w:sz w:val="24"/>
          <w:szCs w:val="24"/>
          <w:lang w:eastAsia="en-US"/>
        </w:rPr>
        <w:t xml:space="preserve">, kommt es </w:t>
      </w:r>
      <w:r w:rsidR="00D43CD0">
        <w:rPr>
          <w:rFonts w:ascii="Arial" w:eastAsia="Calibri" w:hAnsi="Arial" w:cs="Arial"/>
          <w:color w:val="548DD4" w:themeColor="text2" w:themeTint="99"/>
          <w:sz w:val="24"/>
          <w:szCs w:val="24"/>
          <w:lang w:eastAsia="en-US"/>
        </w:rPr>
        <w:t xml:space="preserve">für die Angemessenheit seiner Versorgungsbezüge </w:t>
      </w:r>
      <w:r w:rsidR="00C67FA2" w:rsidRPr="00141DE2">
        <w:rPr>
          <w:rFonts w:ascii="Arial" w:eastAsia="Calibri" w:hAnsi="Arial" w:cs="Arial"/>
          <w:color w:val="548DD4" w:themeColor="text2" w:themeTint="99"/>
          <w:sz w:val="24"/>
          <w:szCs w:val="24"/>
          <w:lang w:eastAsia="en-US"/>
        </w:rPr>
        <w:t xml:space="preserve">ab dem Jahr </w:t>
      </w:r>
      <w:r w:rsidR="00EF678B">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 xml:space="preserve">  entscheidend auf die Verfassungskonformität der Besoldung in der Besoldungsgruppe, anhand deren die Höhe der Versorgung berechnet wird (hier: </w:t>
      </w:r>
      <w:r w:rsidR="0094082C" w:rsidRPr="00141DE2">
        <w:rPr>
          <w:rFonts w:ascii="Arial" w:eastAsia="Calibri" w:hAnsi="Arial" w:cs="Arial"/>
          <w:color w:val="548DD4" w:themeColor="text2" w:themeTint="99"/>
          <w:sz w:val="24"/>
          <w:szCs w:val="24"/>
          <w:lang w:eastAsia="en-US"/>
        </w:rPr>
        <w:t xml:space="preserve">R </w:t>
      </w:r>
      <w:r w:rsidR="00EF678B">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w:t>
      </w:r>
      <w:r w:rsidR="00F77EE9" w:rsidRPr="00141DE2">
        <w:rPr>
          <w:rFonts w:ascii="Arial" w:eastAsia="Calibri" w:hAnsi="Arial" w:cs="Arial"/>
          <w:color w:val="548DD4" w:themeColor="text2" w:themeTint="99"/>
          <w:sz w:val="24"/>
          <w:szCs w:val="24"/>
          <w:lang w:eastAsia="en-US"/>
        </w:rPr>
        <w:t>,</w:t>
      </w:r>
      <w:r w:rsidRPr="00141DE2">
        <w:rPr>
          <w:rFonts w:ascii="Arial" w:eastAsia="Calibri" w:hAnsi="Arial" w:cs="Arial"/>
          <w:color w:val="548DD4" w:themeColor="text2" w:themeTint="99"/>
          <w:sz w:val="24"/>
          <w:szCs w:val="24"/>
          <w:lang w:eastAsia="en-US"/>
        </w:rPr>
        <w:t xml:space="preserve"> und</w:t>
      </w:r>
      <w:r w:rsidR="00A055F8" w:rsidRPr="00141DE2">
        <w:rPr>
          <w:rFonts w:ascii="Arial" w:eastAsia="Calibri" w:hAnsi="Arial" w:cs="Arial"/>
          <w:color w:val="548DD4" w:themeColor="text2" w:themeTint="99"/>
          <w:sz w:val="24"/>
          <w:szCs w:val="24"/>
          <w:lang w:eastAsia="en-US"/>
        </w:rPr>
        <w:t xml:space="preserve"> </w:t>
      </w:r>
      <w:r w:rsidR="007A26FF" w:rsidRPr="00141DE2">
        <w:rPr>
          <w:rFonts w:ascii="Arial" w:eastAsia="Calibri" w:hAnsi="Arial" w:cs="Arial"/>
          <w:color w:val="548DD4" w:themeColor="text2" w:themeTint="99"/>
          <w:sz w:val="24"/>
          <w:szCs w:val="24"/>
          <w:lang w:eastAsia="en-US"/>
        </w:rPr>
        <w:t>damit auf den Vorlagegegenstand an. Denn der Gesetzgeber knüpft die Höhe der Versorgungsbezüge unmittelbar an die Besoldungshöhe.</w:t>
      </w:r>
    </w:p>
    <w:p w14:paraId="368EA7C0" w14:textId="77777777" w:rsidR="00763F71" w:rsidRPr="00141DE2" w:rsidRDefault="00763F71"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68F7A318" w14:textId="1091584F" w:rsidR="007A26FF"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Gemäß § 5 Abs. 1 des Gesetzes über die Versorgung der Beamtinnen und Beamten</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sowie der Richterinnen und Richter des Landes Berlin (LBeamtVG) vom 21. Juni 2011</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(GVBl. S. 266) wird das Ruhegehalt anhand der ruhegehaltfähigen Dienstbezüge der Besoldungsgruppe berechnet, der der Beamte vor der Versetzung in den Ruhestand zuletzt</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zugeordnet war. Dabei ergibt sich nach § 14 Abs. 1 LBeamtVG aus der Anzahl der Jahre</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ruhegehaltfähiger Dienstzeit ein prozentualer Ruhegehaltssatz, mit dem die ruhegehaltfähigen Dienstbezüge des zuletzt innegehabten Amts multipliziert werden.</w:t>
      </w:r>
    </w:p>
    <w:p w14:paraId="3D04CD55" w14:textId="77777777" w:rsidR="00763F71" w:rsidRPr="00141DE2" w:rsidRDefault="00763F71"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635384C6" w14:textId="2983D223" w:rsidR="007A26FF"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Diese Koppelung von Dienstbezügen und Ruhegehalt wird verfestigt durch die Regelung</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des § 70 Abs. 1 LBeamtVG. Danach sind bei allgemeiner Erhöhung oder Verminderung</w:t>
      </w:r>
      <w:r w:rsidR="00763F71"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 xml:space="preserve">der Dienstbezüge der Besoldungsberechtigten von demselben Zeitpunkt an die Versorgungsbezüge entsprechend zu regeln. Dies erfolgt regelmäßig durch die Gesetze zur Anpassung der </w:t>
      </w:r>
      <w:r w:rsidRPr="00141DE2">
        <w:rPr>
          <w:rFonts w:ascii="Arial" w:eastAsia="Calibri" w:hAnsi="Arial" w:cs="Arial"/>
          <w:color w:val="548DD4" w:themeColor="text2" w:themeTint="99"/>
          <w:sz w:val="24"/>
          <w:szCs w:val="24"/>
          <w:lang w:eastAsia="en-US"/>
        </w:rPr>
        <w:lastRenderedPageBreak/>
        <w:t>Besoldung und Versorgung für das Land Berlin für das jeweilige Jahr. Die dadurch vorgenommenen Anpassungen der Besoldung sowie der Versorgung gelten regelmäßig als Anpassung im Sinne des § 70 Abs. 1 LBeamtVG.</w:t>
      </w:r>
    </w:p>
    <w:p w14:paraId="3F93B56C" w14:textId="77777777" w:rsidR="00002363" w:rsidRPr="00141DE2" w:rsidRDefault="00002363"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48AF734B" w14:textId="7A2CB31D" w:rsidR="007A26FF"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Hierdurch ist eine Parallelität der Höhe der Veränderung von Besoldung und Versorgungsbezügen durch die jeweiligen gesetzlichen Anpassungen gewährleistet. Die Anpassungen sind – abgesehen von etwaigen Minderungen der Besoldungsanpassung durch</w:t>
      </w:r>
      <w:r w:rsidR="0000236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Abzug von Versorgungsrücklagen – jeweils identisch. Solange diese gesetzlichen Regelungen bestehen, hat sich der Gesetzgeber selbst gebunden, Änderungen in der Besoldungshöhe unmittelbar auf die Höhe der Versorgungsbezüge zu übertragen (vgl., auch</w:t>
      </w:r>
      <w:r w:rsidR="0000236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im Folgenden, VG Hamburg, Beschluss vom 29. September 2020 – 20 K 7511/17 – juris</w:t>
      </w:r>
      <w:r w:rsidR="00054F94"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Rn. 40 f. zur vergleichbaren Rechtslage in Hamburg).</w:t>
      </w:r>
    </w:p>
    <w:p w14:paraId="7F4C95D1" w14:textId="77777777" w:rsidR="00054F94" w:rsidRPr="00141DE2" w:rsidRDefault="00054F94"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6D6CDEA9" w14:textId="5E6172B2" w:rsidR="007A26FF"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Obwohl eine solche strikte Parallelität der Besoldungs- und Versorgungsentwicklung</w:t>
      </w:r>
      <w:r w:rsidR="000D43D9"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nicht zu den hergebrachten Grundsätzen des Berufsbeamtentums im Sinne des Art. 33</w:t>
      </w:r>
      <w:r w:rsidR="000D43D9"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Abs. 5 GG gehört (vgl. BVerfG, Urt</w:t>
      </w:r>
      <w:r w:rsidR="000140AD">
        <w:rPr>
          <w:rFonts w:ascii="Arial" w:eastAsia="Calibri" w:hAnsi="Arial" w:cs="Arial"/>
          <w:color w:val="548DD4" w:themeColor="text2" w:themeTint="99"/>
          <w:sz w:val="24"/>
          <w:szCs w:val="24"/>
          <w:lang w:eastAsia="en-US"/>
        </w:rPr>
        <w:t>.</w:t>
      </w:r>
      <w:r w:rsidRPr="00141DE2">
        <w:rPr>
          <w:rFonts w:ascii="Arial" w:eastAsia="Calibri" w:hAnsi="Arial" w:cs="Arial"/>
          <w:color w:val="548DD4" w:themeColor="text2" w:themeTint="99"/>
          <w:sz w:val="24"/>
          <w:szCs w:val="24"/>
          <w:lang w:eastAsia="en-US"/>
        </w:rPr>
        <w:t xml:space="preserve"> v</w:t>
      </w:r>
      <w:r w:rsidR="000140AD">
        <w:rPr>
          <w:rFonts w:ascii="Arial" w:eastAsia="Calibri" w:hAnsi="Arial" w:cs="Arial"/>
          <w:color w:val="548DD4" w:themeColor="text2" w:themeTint="99"/>
          <w:sz w:val="24"/>
          <w:szCs w:val="24"/>
          <w:lang w:eastAsia="en-US"/>
        </w:rPr>
        <w:t>.</w:t>
      </w:r>
      <w:r w:rsidRPr="00141DE2">
        <w:rPr>
          <w:rFonts w:ascii="Arial" w:eastAsia="Calibri" w:hAnsi="Arial" w:cs="Arial"/>
          <w:color w:val="548DD4" w:themeColor="text2" w:themeTint="99"/>
          <w:sz w:val="24"/>
          <w:szCs w:val="24"/>
          <w:lang w:eastAsia="en-US"/>
        </w:rPr>
        <w:t xml:space="preserve"> 27. September 2005 – 2 BvR 1387/02 – juris</w:t>
      </w:r>
      <w:r w:rsidR="000D43D9"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Rn. 95) und der Gesetzgeber nicht verpflichtet ist, hieran auch in Zukunft festzuhalten,</w:t>
      </w:r>
      <w:r w:rsidR="000D43D9"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sondern lediglich auch im Hinblick auf die Versorgung das Gebot der amtsangemessenen Alimentation zu beachten hat, hat die Prüfung der Amtsangemessenheit der Versorgungsbezüge durch die Überprüfung der Besoldung, die der Berechnung der Versorgungsbezüge zugrunde liegt, anhand der vom Bundesverfassungsgericht aus Art. 33</w:t>
      </w:r>
      <w:r w:rsidR="0034533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Abs. 5 GG entwickelten Prüfungsmaßstäbe zu erfolgen.</w:t>
      </w:r>
    </w:p>
    <w:p w14:paraId="28F4F43F" w14:textId="77777777" w:rsidR="00345332" w:rsidRPr="00141DE2" w:rsidRDefault="00345332"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3E85D961" w14:textId="401CA8F7" w:rsidR="007A26FF"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Die erkennende Kammer schließt sich insoweit den Erwägungen des Verwaltungsgerichts Hamburg aus dem Beschluss vom 29. September 2020 – 20 K 7511/17 – an, welches hierzu – unter Bezugnahme auf die der Berliner Rechtslage vergleichbaren Regelungen in Hamburg – ausführte:</w:t>
      </w:r>
    </w:p>
    <w:p w14:paraId="2C5983C5" w14:textId="77777777" w:rsidR="001A06D2" w:rsidRPr="00141DE2" w:rsidRDefault="001A06D2" w:rsidP="00503386">
      <w:pPr>
        <w:overflowPunct/>
        <w:spacing w:line="276" w:lineRule="auto"/>
        <w:ind w:left="567" w:right="567"/>
        <w:jc w:val="both"/>
        <w:textAlignment w:val="auto"/>
        <w:rPr>
          <w:rFonts w:ascii="Arial" w:eastAsia="Calibri" w:hAnsi="Arial" w:cs="Arial"/>
          <w:color w:val="548DD4" w:themeColor="text2" w:themeTint="99"/>
          <w:sz w:val="24"/>
          <w:szCs w:val="24"/>
          <w:lang w:eastAsia="en-US"/>
        </w:rPr>
      </w:pPr>
    </w:p>
    <w:p w14:paraId="233A6F6D" w14:textId="5B3CFC75" w:rsidR="007A26FF" w:rsidRPr="00141DE2" w:rsidRDefault="007A26FF" w:rsidP="00503386">
      <w:pPr>
        <w:overflowPunct/>
        <w:ind w:left="567" w:right="567"/>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„Erstens sind die Amtsangemessenheit der Besoldung und der Versorgung an</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demselben verfassungsrechtlichen Maßstab, nämlich dem aus Art. 33 Abs. 5 GG</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folgenden Alimentationsprinzip, zu messen. Die Beamten müssen sowohl für das</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Gehalt während der aktiven Dienstzeit als auch für die Phase des Ruhestandes</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über ein Nettoeinkommen verfügen, das ihre rechtliche und wirtschaftliche Sicherheit und Unabhängigkeit gewährleistet und ihnen und ihren Familien über</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die Befriedigung der Grundbedürfnisse hinaus einen dem Amt angemessenen</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Lebenskomfort ermöglicht (vgl. BVerfG, Beschl. v. 23.5.2017, a.a.O., m.w.N.).</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Liegen hinreichende Indizien für eine Verfassungswidrigkeit der Besoldung vor,</w:t>
      </w:r>
      <w:r w:rsidR="001A06D2"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ist nicht ersichtlich, wie von einer solchen in verfassungswidriger Weise zu niedrig bemessenen Grundlage (vgl. § 5 HmbBeamtVG) ausgehend, gemäß dem prozentualen Ruhegehaltssatz (vgl. § 16 HmbBeamtVG) eine amtsangemessene</w:t>
      </w:r>
      <w:r w:rsidR="00BE5E0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Versorgung errechnet werden soll (vgl. OVG Lüneburg, Urt. v. 25.4.2017, 5 LC</w:t>
      </w:r>
      <w:r w:rsidR="00BE5E0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227/15, juris Rn. 66).</w:t>
      </w:r>
    </w:p>
    <w:p w14:paraId="264124C3" w14:textId="77777777" w:rsidR="00BE5E03" w:rsidRPr="00141DE2" w:rsidRDefault="00BE5E03" w:rsidP="00503386">
      <w:pPr>
        <w:overflowPunct/>
        <w:ind w:left="567" w:right="567"/>
        <w:jc w:val="both"/>
        <w:textAlignment w:val="auto"/>
        <w:rPr>
          <w:rFonts w:ascii="Arial" w:eastAsia="Calibri" w:hAnsi="Arial" w:cs="Arial"/>
          <w:color w:val="548DD4" w:themeColor="text2" w:themeTint="99"/>
          <w:sz w:val="24"/>
          <w:szCs w:val="24"/>
          <w:lang w:eastAsia="en-US"/>
        </w:rPr>
      </w:pPr>
    </w:p>
    <w:p w14:paraId="05B360BA" w14:textId="5A19253D" w:rsidR="007A26FF" w:rsidRPr="00141DE2" w:rsidRDefault="007A26FF" w:rsidP="00503386">
      <w:pPr>
        <w:overflowPunct/>
        <w:ind w:left="567" w:right="567"/>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Zweitens hat nach der Rechtsprechung des Bundesverfassungsgerichts die Untersuchung der Verfassungskonformität der Alimentation auf der ersten Prüfungsstufe möglichst einfachen und klaren Regeln zu folgen (vgl. BVerfG, Beschl.</w:t>
      </w:r>
      <w:r w:rsidR="00BE5E0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 xml:space="preserve">v. </w:t>
      </w:r>
      <w:r w:rsidRPr="00141DE2">
        <w:rPr>
          <w:rFonts w:ascii="Arial" w:eastAsia="Calibri" w:hAnsi="Arial" w:cs="Arial"/>
          <w:color w:val="548DD4" w:themeColor="text2" w:themeTint="99"/>
          <w:sz w:val="24"/>
          <w:szCs w:val="24"/>
          <w:lang w:eastAsia="en-US"/>
        </w:rPr>
        <w:lastRenderedPageBreak/>
        <w:t>4.5.2020, 2 BvL 4/18, juris Rn. 30, m.w.N.). Diesem Ziel wird eine einheitliche</w:t>
      </w:r>
      <w:r w:rsidR="00BE5E0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Prüfung der Amtsangemessenheit der Besoldung und der Versorgung anhand</w:t>
      </w:r>
      <w:r w:rsidR="00BE5E03"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desselben dreistufigen Prüfsystems in besonderem Maße gerecht.</w:t>
      </w:r>
    </w:p>
    <w:p w14:paraId="22A43872" w14:textId="77777777" w:rsidR="00BE5E03" w:rsidRPr="00141DE2" w:rsidRDefault="00BE5E03" w:rsidP="00503386">
      <w:pPr>
        <w:overflowPunct/>
        <w:ind w:left="567" w:right="567"/>
        <w:jc w:val="both"/>
        <w:textAlignment w:val="auto"/>
        <w:rPr>
          <w:rFonts w:ascii="Arial" w:eastAsia="Calibri" w:hAnsi="Arial" w:cs="Arial"/>
          <w:color w:val="548DD4" w:themeColor="text2" w:themeTint="99"/>
          <w:sz w:val="24"/>
          <w:szCs w:val="24"/>
          <w:lang w:eastAsia="en-US"/>
        </w:rPr>
      </w:pPr>
    </w:p>
    <w:p w14:paraId="64289A2A" w14:textId="476BB079" w:rsidR="007A26FF" w:rsidRPr="00141DE2" w:rsidRDefault="007A26FF" w:rsidP="00503386">
      <w:pPr>
        <w:overflowPunct/>
        <w:ind w:left="567" w:right="567"/>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Schließlich fehlt es drittens an einer praktikablen Alternative. In seiner bisherigen Rechtsprechung hat das Bundesverfassungsgericht noch kein speziell auf</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die Amtsangemessenheit von Versorgungsbezügen zugeschnittenes Prüfsystem</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entwickelt. Die Kriterien zur Überprüfung der Verfassungsmäßigkeit der Alimentation hat das Bundesverfassungsgericht bisher ausschließlich zur Besoldung</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entwickelt (vgl. BVerfG, Beschl. v. 4.5.2020, 2 BvL 4/18, juris; Urt. v. 17.11.2015,</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2 BvL 19/09 u.a., BVerfG</w:t>
      </w:r>
      <w:r w:rsidR="00400FEB">
        <w:rPr>
          <w:rFonts w:ascii="Arial" w:eastAsia="Calibri" w:hAnsi="Arial" w:cs="Arial"/>
          <w:color w:val="548DD4" w:themeColor="text2" w:themeTint="99"/>
          <w:sz w:val="24"/>
          <w:szCs w:val="24"/>
          <w:lang w:eastAsia="en-US"/>
        </w:rPr>
        <w:t xml:space="preserve">, Besch. v. </w:t>
      </w:r>
      <w:r w:rsidR="003660BF">
        <w:rPr>
          <w:rFonts w:ascii="Arial" w:eastAsia="Calibri" w:hAnsi="Arial" w:cs="Arial"/>
          <w:color w:val="548DD4" w:themeColor="text2" w:themeTint="99"/>
          <w:sz w:val="24"/>
          <w:szCs w:val="24"/>
          <w:lang w:eastAsia="en-US"/>
        </w:rPr>
        <w:t>17.11.2015, 2 BvL 19/09 u.a.</w:t>
      </w:r>
      <w:r w:rsidRPr="00141DE2">
        <w:rPr>
          <w:rFonts w:ascii="Arial" w:eastAsia="Calibri" w:hAnsi="Arial" w:cs="Arial"/>
          <w:color w:val="548DD4" w:themeColor="text2" w:themeTint="99"/>
          <w:sz w:val="24"/>
          <w:szCs w:val="24"/>
          <w:lang w:eastAsia="en-US"/>
        </w:rPr>
        <w:t xml:space="preserve"> 140, 240; </w:t>
      </w:r>
      <w:r w:rsidR="00925D1E">
        <w:rPr>
          <w:rFonts w:ascii="Arial" w:eastAsia="Calibri" w:hAnsi="Arial" w:cs="Arial"/>
          <w:color w:val="548DD4" w:themeColor="text2" w:themeTint="99"/>
          <w:sz w:val="24"/>
          <w:szCs w:val="24"/>
          <w:lang w:eastAsia="en-US"/>
        </w:rPr>
        <w:t xml:space="preserve">BVerfG, </w:t>
      </w:r>
      <w:r w:rsidRPr="00141DE2">
        <w:rPr>
          <w:rFonts w:ascii="Arial" w:eastAsia="Calibri" w:hAnsi="Arial" w:cs="Arial"/>
          <w:color w:val="548DD4" w:themeColor="text2" w:themeTint="99"/>
          <w:sz w:val="24"/>
          <w:szCs w:val="24"/>
          <w:lang w:eastAsia="en-US"/>
        </w:rPr>
        <w:t xml:space="preserve">Urt. v. 5.5.2015, 2 BvL 17/09, </w:t>
      </w:r>
      <w:r w:rsidR="00E176CB" w:rsidRPr="00E176CB">
        <w:rPr>
          <w:rFonts w:ascii="Arial" w:eastAsia="Calibri" w:hAnsi="Arial" w:cs="Arial"/>
          <w:color w:val="548DD4" w:themeColor="text2" w:themeTint="99"/>
          <w:sz w:val="24"/>
          <w:szCs w:val="24"/>
          <w:lang w:eastAsia="en-US"/>
        </w:rPr>
        <w:t>BVerfG, Urt. v. 5.5.2015, 2 BvL 17/09 u.a.</w:t>
      </w:r>
      <w:r w:rsidRPr="00141DE2">
        <w:rPr>
          <w:rFonts w:ascii="Arial" w:eastAsia="Calibri" w:hAnsi="Arial" w:cs="Arial"/>
          <w:color w:val="548DD4" w:themeColor="text2" w:themeTint="99"/>
          <w:sz w:val="24"/>
          <w:szCs w:val="24"/>
          <w:lang w:eastAsia="en-US"/>
        </w:rPr>
        <w:t>). Ein solches einfach handhabbares Prüfsystem ist auch sonst nicht ersichtlich. Insbesondere scheidet ein Vergleich der Entwicklungen von Versorgungsbezügen mit dem Versorgungsniveau der gesetzlichen Rentenversicherung aus.</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Denn zwischen den Systemen der gesetzlichen Rentenversicherung und der Beamtenversorgung bestehen wesentliche Unterschiede, die einen Vergleich anhand einfach handhabbarer Parameter – wie bei der Prüfung der Besoldungsentwicklung – ausschließen. Ein wesentlicher Unterschied der gesetzlichen Rentenversicherung gegenüber der beamtenrechtlichen Altersversorgung besteht</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nämlich darin, dass die Sozialrente als Grundversorgung durch Zusatzleistungen ergänzt wird (hierzu und zum Folgenden: BVerfG, Urt. v. 27.9.2005, 2 BvR</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1387/02, BVerfG</w:t>
      </w:r>
      <w:r w:rsidR="00BB1B9C">
        <w:rPr>
          <w:rFonts w:ascii="Arial" w:eastAsia="Calibri" w:hAnsi="Arial" w:cs="Arial"/>
          <w:color w:val="548DD4" w:themeColor="text2" w:themeTint="99"/>
          <w:sz w:val="24"/>
          <w:szCs w:val="24"/>
          <w:lang w:eastAsia="en-US"/>
        </w:rPr>
        <w:t>, Urt. v. 27.</w:t>
      </w:r>
      <w:r w:rsidR="00C40A21">
        <w:rPr>
          <w:rFonts w:ascii="Arial" w:eastAsia="Calibri" w:hAnsi="Arial" w:cs="Arial"/>
          <w:color w:val="548DD4" w:themeColor="text2" w:themeTint="99"/>
          <w:sz w:val="24"/>
          <w:szCs w:val="24"/>
          <w:lang w:eastAsia="en-US"/>
        </w:rPr>
        <w:t>09.2005, 2 BvR 1387/02</w:t>
      </w:r>
      <w:r w:rsidRPr="00141DE2">
        <w:rPr>
          <w:rFonts w:ascii="Arial" w:eastAsia="Calibri" w:hAnsi="Arial" w:cs="Arial"/>
          <w:color w:val="548DD4" w:themeColor="text2" w:themeTint="99"/>
          <w:sz w:val="24"/>
          <w:szCs w:val="24"/>
          <w:lang w:eastAsia="en-US"/>
        </w:rPr>
        <w:t>, juris Rn. 131 f., m.w.N.). Die Beamtenversorgung</w:t>
      </w:r>
      <w:r w:rsidR="00EA76B5" w:rsidRPr="00141DE2">
        <w:rPr>
          <w:rFonts w:ascii="Arial" w:eastAsia="Calibri" w:hAnsi="Arial" w:cs="Arial"/>
          <w:color w:val="548DD4" w:themeColor="text2" w:themeTint="99"/>
          <w:sz w:val="24"/>
          <w:szCs w:val="24"/>
          <w:lang w:eastAsia="en-US"/>
        </w:rPr>
        <w:t xml:space="preserve"> </w:t>
      </w:r>
      <w:r w:rsidRPr="00141DE2">
        <w:rPr>
          <w:rFonts w:ascii="Arial" w:eastAsia="Calibri" w:hAnsi="Arial" w:cs="Arial"/>
          <w:color w:val="548DD4" w:themeColor="text2" w:themeTint="99"/>
          <w:sz w:val="24"/>
          <w:szCs w:val="24"/>
          <w:lang w:eastAsia="en-US"/>
        </w:rPr>
        <w:t>umfasst hingegen als Vollversorgung sowohl die Grund- als auch die Zusatzversorgung, wie sie durch die betriebliche Altersvorsorge erfolgt.“</w:t>
      </w:r>
    </w:p>
    <w:p w14:paraId="427FC0D2" w14:textId="77777777" w:rsidR="00B223FD" w:rsidRPr="00141DE2" w:rsidRDefault="00B223FD" w:rsidP="00503386">
      <w:pPr>
        <w:overflowPunct/>
        <w:ind w:left="567" w:right="567"/>
        <w:jc w:val="both"/>
        <w:textAlignment w:val="auto"/>
        <w:rPr>
          <w:rFonts w:ascii="Arial" w:eastAsia="Calibri" w:hAnsi="Arial" w:cs="Arial"/>
          <w:color w:val="548DD4" w:themeColor="text2" w:themeTint="99"/>
          <w:sz w:val="24"/>
          <w:szCs w:val="24"/>
          <w:lang w:eastAsia="en-US"/>
        </w:rPr>
      </w:pPr>
    </w:p>
    <w:p w14:paraId="4D0D20A2" w14:textId="72F22B93" w:rsidR="007A26FF" w:rsidRPr="00141DE2" w:rsidRDefault="007A26FF" w:rsidP="00503386">
      <w:pPr>
        <w:overflowPunct/>
        <w:ind w:left="567" w:right="567"/>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(VG Hamburg, Beschluss vom 29. September 2020 – 20 K 7511/17 – juris Rn. 43-45)</w:t>
      </w:r>
    </w:p>
    <w:p w14:paraId="149E1D04" w14:textId="77777777" w:rsidR="00B223FD" w:rsidRPr="00141DE2" w:rsidRDefault="00B223FD"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29641E83" w14:textId="1A99AD68" w:rsidR="00DB4116" w:rsidRPr="00141DE2" w:rsidRDefault="007A26FF" w:rsidP="00503386">
      <w:pPr>
        <w:overflowPunct/>
        <w:spacing w:line="276" w:lineRule="auto"/>
        <w:jc w:val="both"/>
        <w:textAlignment w:val="auto"/>
        <w:rPr>
          <w:rFonts w:ascii="Arial" w:eastAsia="Calibri" w:hAnsi="Arial" w:cs="Arial"/>
          <w:color w:val="548DD4" w:themeColor="text2" w:themeTint="99"/>
          <w:sz w:val="24"/>
          <w:szCs w:val="24"/>
          <w:lang w:eastAsia="en-US"/>
        </w:rPr>
      </w:pPr>
      <w:r w:rsidRPr="00141DE2">
        <w:rPr>
          <w:rFonts w:ascii="Arial" w:eastAsia="Calibri" w:hAnsi="Arial" w:cs="Arial"/>
          <w:color w:val="548DD4" w:themeColor="text2" w:themeTint="99"/>
          <w:sz w:val="24"/>
          <w:szCs w:val="24"/>
          <w:lang w:eastAsia="en-US"/>
        </w:rPr>
        <w:t>Diese Erwägungen macht sich die Kammer zu eigen.</w:t>
      </w:r>
    </w:p>
    <w:p w14:paraId="5D3AFB34" w14:textId="77777777" w:rsidR="00EC1C98" w:rsidRPr="00141DE2" w:rsidRDefault="00EC1C98" w:rsidP="00503386">
      <w:pPr>
        <w:overflowPunct/>
        <w:spacing w:line="276" w:lineRule="auto"/>
        <w:jc w:val="both"/>
        <w:textAlignment w:val="auto"/>
        <w:rPr>
          <w:rFonts w:ascii="Arial" w:eastAsia="Calibri" w:hAnsi="Arial" w:cs="Arial"/>
          <w:color w:val="548DD4" w:themeColor="text2" w:themeTint="99"/>
          <w:sz w:val="24"/>
          <w:szCs w:val="24"/>
          <w:lang w:eastAsia="en-US"/>
        </w:rPr>
      </w:pPr>
    </w:p>
    <w:p w14:paraId="38BC08F5" w14:textId="77777777" w:rsidR="000D30E0" w:rsidRDefault="000D30E0" w:rsidP="00503386">
      <w:pPr>
        <w:overflowPunct/>
        <w:spacing w:line="276" w:lineRule="auto"/>
        <w:jc w:val="center"/>
        <w:textAlignment w:val="auto"/>
        <w:rPr>
          <w:rFonts w:ascii="Arial" w:eastAsia="Calibri" w:hAnsi="Arial" w:cs="Arial"/>
          <w:sz w:val="24"/>
          <w:szCs w:val="24"/>
          <w:lang w:eastAsia="en-US"/>
        </w:rPr>
      </w:pPr>
    </w:p>
    <w:p w14:paraId="7C861549" w14:textId="422FA439" w:rsidR="006D40B5" w:rsidRDefault="006D40B5"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t>I.</w:t>
      </w:r>
    </w:p>
    <w:p w14:paraId="72B6ED53" w14:textId="77777777" w:rsidR="008225EC" w:rsidRDefault="008225EC" w:rsidP="00503386">
      <w:pPr>
        <w:overflowPunct/>
        <w:spacing w:line="276" w:lineRule="auto"/>
        <w:jc w:val="center"/>
        <w:textAlignment w:val="auto"/>
        <w:rPr>
          <w:rFonts w:ascii="Arial" w:eastAsia="Calibri" w:hAnsi="Arial" w:cs="Arial"/>
          <w:sz w:val="24"/>
          <w:szCs w:val="24"/>
          <w:lang w:eastAsia="en-US"/>
        </w:rPr>
      </w:pPr>
    </w:p>
    <w:p w14:paraId="2BE2E0F4" w14:textId="1574F4C3" w:rsidR="00E42DC2" w:rsidRDefault="00E42DC2" w:rsidP="00503386">
      <w:pPr>
        <w:overflowPunct/>
        <w:spacing w:line="276" w:lineRule="auto"/>
        <w:jc w:val="both"/>
        <w:textAlignment w:val="auto"/>
        <w:rPr>
          <w:rFonts w:ascii="Arial" w:eastAsia="Calibri" w:hAnsi="Arial" w:cs="Arial"/>
          <w:sz w:val="24"/>
          <w:szCs w:val="24"/>
          <w:lang w:eastAsia="en-US"/>
        </w:rPr>
      </w:pPr>
      <w:r w:rsidRPr="00E42DC2">
        <w:rPr>
          <w:rFonts w:ascii="Arial" w:eastAsia="Calibri" w:hAnsi="Arial" w:cs="Arial"/>
          <w:sz w:val="24"/>
          <w:szCs w:val="24"/>
          <w:lang w:eastAsia="en-US"/>
        </w:rPr>
        <w:t>Der verfassungsrechtliche Maßstab, an dem die Rechtsgrundlagen für die Besoldung der Richter und Staatsanwälte zu messen sind, ergibt sich aus Art. 33 Abs. 5 GG. Danach ist das Recht des öffentlichen Dienstes unter Berücksichtigung der hergebrachten Grundsätze des Berufsbeamtentums zu regeln und fortzuentwickeln.</w:t>
      </w:r>
      <w:r w:rsidR="00537FDE">
        <w:rPr>
          <w:rFonts w:ascii="Arial" w:eastAsia="Calibri" w:hAnsi="Arial" w:cs="Arial"/>
          <w:sz w:val="24"/>
          <w:szCs w:val="24"/>
          <w:lang w:eastAsia="en-US"/>
        </w:rPr>
        <w:t xml:space="preserve"> </w:t>
      </w:r>
      <w:r w:rsidR="006C1016">
        <w:rPr>
          <w:rFonts w:ascii="Arial" w:eastAsia="Calibri" w:hAnsi="Arial" w:cs="Arial"/>
          <w:sz w:val="24"/>
          <w:szCs w:val="24"/>
          <w:lang w:eastAsia="en-US"/>
        </w:rPr>
        <w:t>Wegen der Einzelheiten z</w:t>
      </w:r>
      <w:r w:rsidR="00CB21C0">
        <w:rPr>
          <w:rFonts w:ascii="Arial" w:eastAsia="Calibri" w:hAnsi="Arial" w:cs="Arial"/>
          <w:sz w:val="24"/>
          <w:szCs w:val="24"/>
          <w:lang w:eastAsia="en-US"/>
        </w:rPr>
        <w:t xml:space="preserve">u diesem Maßstab </w:t>
      </w:r>
      <w:r w:rsidR="006C1016">
        <w:rPr>
          <w:rFonts w:ascii="Arial" w:eastAsia="Calibri" w:hAnsi="Arial" w:cs="Arial"/>
          <w:sz w:val="24"/>
          <w:szCs w:val="24"/>
          <w:lang w:eastAsia="en-US"/>
        </w:rPr>
        <w:t xml:space="preserve">wird auf den Beschluss </w:t>
      </w:r>
      <w:r w:rsidR="00737DB1">
        <w:rPr>
          <w:rFonts w:ascii="Arial" w:eastAsia="Calibri" w:hAnsi="Arial" w:cs="Arial"/>
          <w:sz w:val="24"/>
          <w:szCs w:val="24"/>
          <w:lang w:eastAsia="en-US"/>
        </w:rPr>
        <w:t xml:space="preserve">des </w:t>
      </w:r>
      <w:r w:rsidR="00CB21C0">
        <w:rPr>
          <w:rFonts w:ascii="Arial" w:eastAsia="Calibri" w:hAnsi="Arial" w:cs="Arial"/>
          <w:sz w:val="24"/>
          <w:szCs w:val="24"/>
          <w:lang w:eastAsia="en-US"/>
        </w:rPr>
        <w:t>Bundesverfassungsgericht</w:t>
      </w:r>
      <w:r w:rsidR="00737DB1">
        <w:rPr>
          <w:rFonts w:ascii="Arial" w:eastAsia="Calibri" w:hAnsi="Arial" w:cs="Arial"/>
          <w:sz w:val="24"/>
          <w:szCs w:val="24"/>
          <w:lang w:eastAsia="en-US"/>
        </w:rPr>
        <w:t>s</w:t>
      </w:r>
      <w:r w:rsidR="00CB21C0">
        <w:rPr>
          <w:rFonts w:ascii="Arial" w:eastAsia="Calibri" w:hAnsi="Arial" w:cs="Arial"/>
          <w:sz w:val="24"/>
          <w:szCs w:val="24"/>
          <w:lang w:eastAsia="en-US"/>
        </w:rPr>
        <w:t xml:space="preserve"> vom 4. </w:t>
      </w:r>
      <w:r w:rsidR="00CB21C0" w:rsidRPr="002A165F">
        <w:rPr>
          <w:rFonts w:ascii="Arial" w:eastAsia="Calibri" w:hAnsi="Arial" w:cs="Arial"/>
          <w:sz w:val="24"/>
          <w:szCs w:val="24"/>
          <w:lang w:eastAsia="en-US"/>
        </w:rPr>
        <w:t xml:space="preserve">Mai 2020 </w:t>
      </w:r>
      <w:bookmarkStart w:id="9" w:name="_Hlk88642485"/>
      <w:r w:rsidR="00EA47D0">
        <w:rPr>
          <w:rFonts w:ascii="Arial" w:eastAsia="Calibri" w:hAnsi="Arial" w:cs="Arial"/>
          <w:sz w:val="24"/>
          <w:szCs w:val="24"/>
          <w:lang w:eastAsia="en-US"/>
        </w:rPr>
        <w:t>(2 BvL 4/18)</w:t>
      </w:r>
      <w:r w:rsidR="006C1016">
        <w:rPr>
          <w:rFonts w:ascii="Arial" w:eastAsia="Calibri" w:hAnsi="Arial" w:cs="Arial"/>
          <w:sz w:val="24"/>
          <w:szCs w:val="24"/>
          <w:lang w:eastAsia="en-US"/>
        </w:rPr>
        <w:t xml:space="preserve">, dort unter </w:t>
      </w:r>
      <w:bookmarkEnd w:id="9"/>
      <w:r w:rsidR="00CB21C0">
        <w:rPr>
          <w:rFonts w:ascii="Arial" w:eastAsia="Calibri" w:hAnsi="Arial" w:cs="Arial"/>
          <w:sz w:val="24"/>
          <w:szCs w:val="24"/>
          <w:lang w:eastAsia="en-US"/>
        </w:rPr>
        <w:t>den R</w:t>
      </w:r>
      <w:r w:rsidR="006C1016">
        <w:rPr>
          <w:rFonts w:ascii="Arial" w:eastAsia="Calibri" w:hAnsi="Arial" w:cs="Arial"/>
          <w:sz w:val="24"/>
          <w:szCs w:val="24"/>
          <w:lang w:eastAsia="en-US"/>
        </w:rPr>
        <w:t>n</w:t>
      </w:r>
      <w:r w:rsidR="001B2572">
        <w:rPr>
          <w:rFonts w:ascii="Arial" w:eastAsia="Calibri" w:hAnsi="Arial" w:cs="Arial"/>
          <w:sz w:val="24"/>
          <w:szCs w:val="24"/>
          <w:lang w:eastAsia="en-US"/>
        </w:rPr>
        <w:t>.</w:t>
      </w:r>
      <w:r w:rsidR="00CB21C0">
        <w:rPr>
          <w:rFonts w:ascii="Arial" w:eastAsia="Calibri" w:hAnsi="Arial" w:cs="Arial"/>
          <w:sz w:val="24"/>
          <w:szCs w:val="24"/>
          <w:lang w:eastAsia="en-US"/>
        </w:rPr>
        <w:t xml:space="preserve"> 20 bis 97</w:t>
      </w:r>
      <w:r w:rsidR="0096403B">
        <w:rPr>
          <w:rFonts w:ascii="Arial" w:eastAsia="Calibri" w:hAnsi="Arial" w:cs="Arial"/>
          <w:sz w:val="24"/>
          <w:szCs w:val="24"/>
          <w:lang w:eastAsia="en-US"/>
        </w:rPr>
        <w:t>,</w:t>
      </w:r>
      <w:r w:rsidR="00CB21C0">
        <w:rPr>
          <w:rFonts w:ascii="Arial" w:eastAsia="Calibri" w:hAnsi="Arial" w:cs="Arial"/>
          <w:sz w:val="24"/>
          <w:szCs w:val="24"/>
          <w:lang w:eastAsia="en-US"/>
        </w:rPr>
        <w:t xml:space="preserve"> </w:t>
      </w:r>
      <w:r w:rsidR="006C1016">
        <w:rPr>
          <w:rFonts w:ascii="Arial" w:eastAsia="Calibri" w:hAnsi="Arial" w:cs="Arial"/>
          <w:sz w:val="24"/>
          <w:szCs w:val="24"/>
          <w:lang w:eastAsia="en-US"/>
        </w:rPr>
        <w:t>Bezug genommen.</w:t>
      </w:r>
    </w:p>
    <w:p w14:paraId="1D85DE0C" w14:textId="77777777" w:rsidR="006C1016" w:rsidRPr="00E42DC2" w:rsidRDefault="006C1016" w:rsidP="00503386">
      <w:pPr>
        <w:overflowPunct/>
        <w:spacing w:line="276" w:lineRule="auto"/>
        <w:jc w:val="both"/>
        <w:textAlignment w:val="auto"/>
        <w:rPr>
          <w:rFonts w:ascii="Arial" w:eastAsia="Calibri" w:hAnsi="Arial" w:cs="Arial"/>
          <w:sz w:val="24"/>
          <w:szCs w:val="24"/>
          <w:lang w:eastAsia="en-US"/>
        </w:rPr>
      </w:pPr>
    </w:p>
    <w:p w14:paraId="7EE0FD32" w14:textId="77777777" w:rsidR="00ED1DE8" w:rsidRDefault="00ED1DE8" w:rsidP="00503386">
      <w:pPr>
        <w:overflowPunct/>
        <w:spacing w:line="276" w:lineRule="auto"/>
        <w:jc w:val="center"/>
        <w:textAlignment w:val="auto"/>
        <w:rPr>
          <w:rFonts w:ascii="Arial" w:eastAsia="Calibri" w:hAnsi="Arial" w:cs="Arial"/>
          <w:sz w:val="24"/>
          <w:szCs w:val="24"/>
          <w:lang w:eastAsia="en-US"/>
        </w:rPr>
      </w:pPr>
    </w:p>
    <w:p w14:paraId="7F825C3D" w14:textId="06081381" w:rsidR="00537FDE" w:rsidRDefault="00537FDE" w:rsidP="00503386">
      <w:pPr>
        <w:overflowPunct/>
        <w:spacing w:line="276" w:lineRule="auto"/>
        <w:jc w:val="center"/>
        <w:textAlignment w:val="auto"/>
        <w:rPr>
          <w:rFonts w:ascii="Arial" w:eastAsia="Calibri" w:hAnsi="Arial" w:cs="Arial"/>
          <w:sz w:val="24"/>
          <w:szCs w:val="24"/>
          <w:lang w:eastAsia="en-US"/>
        </w:rPr>
      </w:pPr>
      <w:r>
        <w:rPr>
          <w:rFonts w:ascii="Arial" w:eastAsia="Calibri" w:hAnsi="Arial" w:cs="Arial"/>
          <w:sz w:val="24"/>
          <w:szCs w:val="24"/>
          <w:lang w:eastAsia="en-US"/>
        </w:rPr>
        <w:t>II.</w:t>
      </w:r>
    </w:p>
    <w:p w14:paraId="351DE281" w14:textId="77777777" w:rsidR="008225EC" w:rsidRDefault="008225EC" w:rsidP="00503386">
      <w:pPr>
        <w:overflowPunct/>
        <w:spacing w:line="276" w:lineRule="auto"/>
        <w:jc w:val="center"/>
        <w:textAlignment w:val="auto"/>
        <w:rPr>
          <w:rFonts w:ascii="Arial" w:eastAsia="Calibri" w:hAnsi="Arial" w:cs="Arial"/>
          <w:sz w:val="24"/>
          <w:szCs w:val="24"/>
          <w:lang w:eastAsia="en-US"/>
        </w:rPr>
      </w:pPr>
    </w:p>
    <w:p w14:paraId="3527497B" w14:textId="0399B284" w:rsidR="00537FDE" w:rsidRDefault="00EC7D76" w:rsidP="00503386">
      <w:pPr>
        <w:overflowPunct/>
        <w:spacing w:line="276" w:lineRule="auto"/>
        <w:jc w:val="both"/>
        <w:textAlignment w:val="auto"/>
        <w:rPr>
          <w:rFonts w:ascii="Arial" w:eastAsia="Calibri" w:hAnsi="Arial" w:cs="Arial"/>
          <w:sz w:val="24"/>
          <w:szCs w:val="24"/>
          <w:lang w:eastAsia="en-US"/>
        </w:rPr>
      </w:pPr>
      <w:r w:rsidRPr="00EC7D76">
        <w:rPr>
          <w:rFonts w:ascii="Arial" w:eastAsia="Calibri" w:hAnsi="Arial" w:cs="Arial"/>
          <w:sz w:val="24"/>
          <w:szCs w:val="24"/>
          <w:lang w:eastAsia="en-US"/>
        </w:rPr>
        <w:t xml:space="preserve">An diesen </w:t>
      </w:r>
      <w:r w:rsidR="006C1016">
        <w:rPr>
          <w:rFonts w:ascii="Arial" w:eastAsia="Calibri" w:hAnsi="Arial" w:cs="Arial"/>
          <w:sz w:val="24"/>
          <w:szCs w:val="24"/>
          <w:lang w:eastAsia="en-US"/>
        </w:rPr>
        <w:t xml:space="preserve">vom Bundesverfassungsgericht dargelegten </w:t>
      </w:r>
      <w:r w:rsidRPr="00EC7D76">
        <w:rPr>
          <w:rFonts w:ascii="Arial" w:eastAsia="Calibri" w:hAnsi="Arial" w:cs="Arial"/>
          <w:sz w:val="24"/>
          <w:szCs w:val="24"/>
          <w:lang w:eastAsia="en-US"/>
        </w:rPr>
        <w:t xml:space="preserve">Maßstäben gemessen sind die Vorgaben des Art. 33 Abs. 5 GG nicht erfüllt. Eine Gesamtschau der für die Bestimmung der </w:t>
      </w:r>
      <w:r w:rsidRPr="00EC7D76">
        <w:rPr>
          <w:rFonts w:ascii="Arial" w:eastAsia="Calibri" w:hAnsi="Arial" w:cs="Arial"/>
          <w:sz w:val="24"/>
          <w:szCs w:val="24"/>
          <w:lang w:eastAsia="en-US"/>
        </w:rPr>
        <w:lastRenderedPageBreak/>
        <w:t xml:space="preserve">Besoldungshöhe maßgeblichen Parameter ergibt, dass die im Land Berlin gewährte Besoldung </w:t>
      </w:r>
      <w:r>
        <w:rPr>
          <w:rFonts w:ascii="Arial" w:eastAsia="Calibri" w:hAnsi="Arial" w:cs="Arial"/>
          <w:sz w:val="24"/>
          <w:szCs w:val="24"/>
          <w:lang w:eastAsia="en-US"/>
        </w:rPr>
        <w:t>in den Jahren 2016 bis 20</w:t>
      </w:r>
      <w:r w:rsidR="00680DC7">
        <w:rPr>
          <w:rFonts w:ascii="Arial" w:eastAsia="Calibri" w:hAnsi="Arial" w:cs="Arial"/>
          <w:sz w:val="24"/>
          <w:szCs w:val="24"/>
          <w:lang w:eastAsia="en-US"/>
        </w:rPr>
        <w:t>20</w:t>
      </w:r>
      <w:r>
        <w:rPr>
          <w:rFonts w:ascii="Arial" w:eastAsia="Calibri" w:hAnsi="Arial" w:cs="Arial"/>
          <w:sz w:val="24"/>
          <w:szCs w:val="24"/>
          <w:lang w:eastAsia="en-US"/>
        </w:rPr>
        <w:t xml:space="preserve"> </w:t>
      </w:r>
      <w:r w:rsidRPr="00EC7D76">
        <w:rPr>
          <w:rFonts w:ascii="Arial" w:eastAsia="Calibri" w:hAnsi="Arial" w:cs="Arial"/>
          <w:sz w:val="24"/>
          <w:szCs w:val="24"/>
          <w:lang w:eastAsia="en-US"/>
        </w:rPr>
        <w:t>evident unzureichend war.</w:t>
      </w:r>
    </w:p>
    <w:p w14:paraId="36C9393A" w14:textId="60A532A5" w:rsidR="00EC7D76" w:rsidRDefault="00EC7D76" w:rsidP="00503386">
      <w:pPr>
        <w:overflowPunct/>
        <w:spacing w:line="276" w:lineRule="auto"/>
        <w:jc w:val="both"/>
        <w:textAlignment w:val="auto"/>
        <w:rPr>
          <w:rFonts w:ascii="Arial" w:eastAsia="Calibri" w:hAnsi="Arial" w:cs="Arial"/>
          <w:sz w:val="24"/>
          <w:szCs w:val="24"/>
          <w:lang w:eastAsia="en-US"/>
        </w:rPr>
      </w:pPr>
    </w:p>
    <w:p w14:paraId="3C94D635" w14:textId="71052A6D" w:rsidR="00EC7D76" w:rsidRDefault="00EC7D76" w:rsidP="00503386">
      <w:pPr>
        <w:overflowPunct/>
        <w:spacing w:line="276" w:lineRule="auto"/>
        <w:jc w:val="both"/>
        <w:textAlignment w:val="auto"/>
        <w:rPr>
          <w:rFonts w:ascii="Arial" w:eastAsia="Calibri" w:hAnsi="Arial" w:cs="Arial"/>
          <w:sz w:val="24"/>
          <w:szCs w:val="24"/>
          <w:lang w:eastAsia="en-US"/>
        </w:rPr>
      </w:pPr>
      <w:r w:rsidRPr="00EC7D76">
        <w:rPr>
          <w:rFonts w:ascii="Arial" w:eastAsia="Calibri" w:hAnsi="Arial" w:cs="Arial"/>
          <w:sz w:val="24"/>
          <w:szCs w:val="24"/>
          <w:lang w:eastAsia="en-US"/>
        </w:rPr>
        <w:t>Sie genügte nicht, um Richtern und Staatsanwälten nach der mit ihrem Amt verbundenen Verantwortung und nach der Bedeutung dieser Ämter für die Allgemeinheit einen der Entwicklung der allgemeinen wirtschaftlichen und finanziellen Verhältnisse und des allgemeinen Lebensstandards angemessenen Lebensunterhalt zu ermöglichen. Bei der Festlegung der Grundgehaltssätze wurde die Sicherung der Attraktivität des Amtes eines Richters oder Staatsanwalts für entsprechend qualifizierte Kräfte, das Ansehen dieses Amtes in den Augen der Gesellschaft, die von Richtern und Staatsanwälten geforderte Ausbildung, ihre Verantwortung und ihre Beanspruchung nicht hinreichend berücksichtigt.</w:t>
      </w:r>
    </w:p>
    <w:p w14:paraId="6E397E19" w14:textId="2EA77181" w:rsidR="00EC7D76" w:rsidRDefault="00EC7D76" w:rsidP="00503386">
      <w:pPr>
        <w:overflowPunct/>
        <w:spacing w:line="276" w:lineRule="auto"/>
        <w:jc w:val="both"/>
        <w:textAlignment w:val="auto"/>
        <w:rPr>
          <w:rFonts w:ascii="Arial" w:eastAsia="Calibri" w:hAnsi="Arial" w:cs="Arial"/>
          <w:sz w:val="24"/>
          <w:szCs w:val="24"/>
          <w:lang w:eastAsia="en-US"/>
        </w:rPr>
      </w:pPr>
    </w:p>
    <w:p w14:paraId="68BA3568" w14:textId="5F8AA0BF" w:rsidR="00EC7D76" w:rsidRDefault="00EC7D76" w:rsidP="00503386">
      <w:pPr>
        <w:overflowPunct/>
        <w:spacing w:line="276" w:lineRule="auto"/>
        <w:jc w:val="both"/>
        <w:textAlignment w:val="auto"/>
        <w:rPr>
          <w:rFonts w:ascii="Arial" w:eastAsia="Calibri" w:hAnsi="Arial" w:cs="Arial"/>
          <w:sz w:val="24"/>
          <w:szCs w:val="24"/>
          <w:lang w:eastAsia="en-US"/>
        </w:rPr>
      </w:pPr>
      <w:r w:rsidRPr="00EC7D76">
        <w:rPr>
          <w:rFonts w:ascii="Arial" w:eastAsia="Calibri" w:hAnsi="Arial" w:cs="Arial"/>
          <w:sz w:val="24"/>
          <w:szCs w:val="24"/>
          <w:lang w:eastAsia="en-US"/>
        </w:rPr>
        <w:t xml:space="preserve">Dies ergibt sich </w:t>
      </w:r>
      <w:r w:rsidR="00F85025">
        <w:rPr>
          <w:rFonts w:ascii="Arial" w:eastAsia="Calibri" w:hAnsi="Arial" w:cs="Arial"/>
          <w:sz w:val="24"/>
          <w:szCs w:val="24"/>
          <w:lang w:eastAsia="en-US"/>
        </w:rPr>
        <w:t>zum einen</w:t>
      </w:r>
      <w:r w:rsidRPr="00EC7D76">
        <w:rPr>
          <w:rFonts w:ascii="Arial" w:eastAsia="Calibri" w:hAnsi="Arial" w:cs="Arial"/>
          <w:sz w:val="24"/>
          <w:szCs w:val="24"/>
          <w:lang w:eastAsia="en-US"/>
        </w:rPr>
        <w:t xml:space="preserve"> aus einem Vergleich der Entwicklung der Besoldung mit derjenigen der Einkommen der Tarifbeschäftigten im öffentlichen Dienst, der Entwicklung des Nominallohn- und des Verbraucherpreisindex. Auch wurde das Mindestabstandsgebot in den unteren Besoldungsgruppen durchgehend deutlich verletzt. Dieser Befund </w:t>
      </w:r>
      <w:r w:rsidR="00445D87">
        <w:rPr>
          <w:rFonts w:ascii="Arial" w:eastAsia="Calibri" w:hAnsi="Arial" w:cs="Arial"/>
          <w:sz w:val="24"/>
          <w:szCs w:val="24"/>
          <w:lang w:eastAsia="en-US"/>
        </w:rPr>
        <w:t xml:space="preserve">wird </w:t>
      </w:r>
      <w:r w:rsidR="00F85025">
        <w:rPr>
          <w:rFonts w:ascii="Arial" w:eastAsia="Calibri" w:hAnsi="Arial" w:cs="Arial"/>
          <w:sz w:val="24"/>
          <w:szCs w:val="24"/>
          <w:lang w:eastAsia="en-US"/>
        </w:rPr>
        <w:t>zum anderen</w:t>
      </w:r>
      <w:r w:rsidR="00F85025" w:rsidRPr="00EC7D76">
        <w:rPr>
          <w:rFonts w:ascii="Arial" w:eastAsia="Calibri" w:hAnsi="Arial" w:cs="Arial"/>
          <w:sz w:val="24"/>
          <w:szCs w:val="24"/>
          <w:lang w:eastAsia="en-US"/>
        </w:rPr>
        <w:t xml:space="preserve"> </w:t>
      </w:r>
      <w:r w:rsidRPr="00EC7D76">
        <w:rPr>
          <w:rFonts w:ascii="Arial" w:eastAsia="Calibri" w:hAnsi="Arial" w:cs="Arial"/>
          <w:sz w:val="24"/>
          <w:szCs w:val="24"/>
          <w:lang w:eastAsia="en-US"/>
        </w:rPr>
        <w:t>durch die Heranziehung weiterer alimentationsrelevanter Kriterien im Rahmen der Gesamtabwägung bestätigt. Kollidierendes Verfassungsrecht steht ihm nicht entgegen.</w:t>
      </w:r>
    </w:p>
    <w:p w14:paraId="252EDD70" w14:textId="77777777" w:rsidR="000A17DE" w:rsidRDefault="000A17DE" w:rsidP="00503386">
      <w:pPr>
        <w:overflowPunct/>
        <w:spacing w:line="276" w:lineRule="auto"/>
        <w:jc w:val="both"/>
        <w:textAlignment w:val="auto"/>
        <w:rPr>
          <w:rFonts w:ascii="Arial" w:eastAsia="Calibri" w:hAnsi="Arial" w:cs="Arial"/>
          <w:sz w:val="24"/>
          <w:szCs w:val="24"/>
          <w:lang w:eastAsia="en-US"/>
        </w:rPr>
      </w:pPr>
    </w:p>
    <w:p w14:paraId="6E5B8A7F" w14:textId="5AD06868" w:rsidR="00BB0834" w:rsidRDefault="00814C42" w:rsidP="0018573E">
      <w:pPr>
        <w:overflowPunct/>
        <w:spacing w:line="276" w:lineRule="auto"/>
        <w:jc w:val="both"/>
        <w:textAlignment w:val="auto"/>
        <w:rPr>
          <w:rFonts w:ascii="Arial" w:eastAsia="Calibri" w:hAnsi="Arial" w:cs="Arial"/>
          <w:sz w:val="24"/>
          <w:szCs w:val="24"/>
          <w:lang w:eastAsia="en-US"/>
        </w:rPr>
      </w:pPr>
      <w:r w:rsidRPr="00814C42">
        <w:rPr>
          <w:rFonts w:ascii="Arial" w:eastAsia="Calibri" w:hAnsi="Arial" w:cs="Arial"/>
          <w:sz w:val="24"/>
          <w:szCs w:val="24"/>
          <w:lang w:eastAsia="en-US"/>
        </w:rPr>
        <w:t>1.</w:t>
      </w:r>
      <w:r w:rsidR="00F85025">
        <w:rPr>
          <w:rFonts w:ascii="Arial" w:eastAsia="Calibri" w:hAnsi="Arial" w:cs="Arial"/>
          <w:sz w:val="24"/>
          <w:szCs w:val="24"/>
          <w:lang w:eastAsia="en-US"/>
        </w:rPr>
        <w:t xml:space="preserve"> </w:t>
      </w:r>
      <w:r w:rsidR="00E13C29">
        <w:rPr>
          <w:rFonts w:ascii="Arial" w:eastAsia="Calibri" w:hAnsi="Arial" w:cs="Arial"/>
          <w:sz w:val="24"/>
          <w:szCs w:val="24"/>
          <w:lang w:eastAsia="en-US"/>
        </w:rPr>
        <w:t xml:space="preserve">Die </w:t>
      </w:r>
      <w:r w:rsidR="00BB0834">
        <w:rPr>
          <w:rFonts w:ascii="Arial" w:eastAsia="Calibri" w:hAnsi="Arial" w:cs="Arial"/>
          <w:sz w:val="24"/>
          <w:szCs w:val="24"/>
          <w:lang w:eastAsia="en-US"/>
        </w:rPr>
        <w:t xml:space="preserve">Betrachtung der maßgeblichen </w:t>
      </w:r>
      <w:r w:rsidR="00BB0834" w:rsidRPr="003239E1">
        <w:rPr>
          <w:rFonts w:ascii="Arial" w:eastAsia="Calibri" w:hAnsi="Arial" w:cs="Arial"/>
          <w:sz w:val="24"/>
          <w:szCs w:val="24"/>
          <w:lang w:eastAsia="en-US"/>
        </w:rPr>
        <w:t xml:space="preserve">Parameter auf der </w:t>
      </w:r>
      <w:r w:rsidR="00BB0834" w:rsidRPr="000A17DE">
        <w:rPr>
          <w:rFonts w:ascii="Arial" w:eastAsia="Calibri" w:hAnsi="Arial" w:cs="Arial"/>
          <w:b/>
          <w:bCs/>
          <w:sz w:val="24"/>
          <w:szCs w:val="24"/>
          <w:lang w:eastAsia="en-US"/>
        </w:rPr>
        <w:t>ersten Prüfungsstufe</w:t>
      </w:r>
      <w:r w:rsidR="00BB0834" w:rsidRPr="003239E1">
        <w:rPr>
          <w:rFonts w:ascii="Arial" w:eastAsia="Calibri" w:hAnsi="Arial" w:cs="Arial"/>
          <w:sz w:val="24"/>
          <w:szCs w:val="24"/>
          <w:lang w:eastAsia="en-US"/>
        </w:rPr>
        <w:t xml:space="preserve"> begründet die Vermutung, dass im Land Berlin die Grundgehaltssätze der Besoldungsgruppen R 1 und R 2 in den Jahren 20</w:t>
      </w:r>
      <w:r w:rsidR="00BB0834">
        <w:rPr>
          <w:rFonts w:ascii="Arial" w:eastAsia="Calibri" w:hAnsi="Arial" w:cs="Arial"/>
          <w:sz w:val="24"/>
          <w:szCs w:val="24"/>
          <w:lang w:eastAsia="en-US"/>
        </w:rPr>
        <w:t>16</w:t>
      </w:r>
      <w:r w:rsidR="00BB0834" w:rsidRPr="003239E1">
        <w:rPr>
          <w:rFonts w:ascii="Arial" w:eastAsia="Calibri" w:hAnsi="Arial" w:cs="Arial"/>
          <w:sz w:val="24"/>
          <w:szCs w:val="24"/>
          <w:lang w:eastAsia="en-US"/>
        </w:rPr>
        <w:t xml:space="preserve"> bis 20</w:t>
      </w:r>
      <w:r w:rsidR="00BB0834">
        <w:rPr>
          <w:rFonts w:ascii="Arial" w:eastAsia="Calibri" w:hAnsi="Arial" w:cs="Arial"/>
          <w:sz w:val="24"/>
          <w:szCs w:val="24"/>
          <w:lang w:eastAsia="en-US"/>
        </w:rPr>
        <w:t>20</w:t>
      </w:r>
      <w:r w:rsidR="00BB0834" w:rsidRPr="003239E1">
        <w:rPr>
          <w:rFonts w:ascii="Arial" w:eastAsia="Calibri" w:hAnsi="Arial" w:cs="Arial"/>
          <w:sz w:val="24"/>
          <w:szCs w:val="24"/>
          <w:lang w:eastAsia="en-US"/>
        </w:rPr>
        <w:t xml:space="preserve"> das Mindestmaß amtsangemessener Alimentation unterschritten haben.</w:t>
      </w:r>
      <w:r w:rsidR="00BB0834">
        <w:rPr>
          <w:rFonts w:ascii="Arial" w:eastAsia="Calibri" w:hAnsi="Arial" w:cs="Arial"/>
          <w:sz w:val="24"/>
          <w:szCs w:val="24"/>
          <w:lang w:eastAsia="en-US"/>
        </w:rPr>
        <w:t xml:space="preserve"> Die Ausführungen orientieren sich an der vorgenannten Entscheidung des Bundesverfassungsgerichtes, insbesondere an der dort verwendeten Berechnungsweise.</w:t>
      </w:r>
      <w:r w:rsidR="00DF26DC">
        <w:rPr>
          <w:rFonts w:ascii="Arial" w:eastAsia="Calibri" w:hAnsi="Arial" w:cs="Arial"/>
          <w:sz w:val="24"/>
          <w:szCs w:val="24"/>
          <w:lang w:eastAsia="en-US"/>
        </w:rPr>
        <w:t xml:space="preserve"> In den Blick zu nehmen ist die Entwicklung des Besoldungsindex (a) gegenüber </w:t>
      </w:r>
      <w:r w:rsidR="00997574">
        <w:rPr>
          <w:rFonts w:ascii="Arial" w:eastAsia="Calibri" w:hAnsi="Arial" w:cs="Arial"/>
          <w:sz w:val="24"/>
          <w:szCs w:val="24"/>
          <w:lang w:eastAsia="en-US"/>
        </w:rPr>
        <w:t xml:space="preserve">derjenigen des </w:t>
      </w:r>
      <w:r w:rsidR="00DF26DC">
        <w:rPr>
          <w:rFonts w:ascii="Arial" w:eastAsia="Calibri" w:hAnsi="Arial" w:cs="Arial"/>
          <w:sz w:val="24"/>
          <w:szCs w:val="24"/>
          <w:lang w:eastAsia="en-US"/>
        </w:rPr>
        <w:t xml:space="preserve">Tariflohnindex (b), </w:t>
      </w:r>
      <w:r w:rsidR="00997574">
        <w:rPr>
          <w:rFonts w:ascii="Arial" w:eastAsia="Calibri" w:hAnsi="Arial" w:cs="Arial"/>
          <w:sz w:val="24"/>
          <w:szCs w:val="24"/>
          <w:lang w:eastAsia="en-US"/>
        </w:rPr>
        <w:t xml:space="preserve">des </w:t>
      </w:r>
      <w:r w:rsidR="00DF26DC">
        <w:rPr>
          <w:rFonts w:ascii="Arial" w:eastAsia="Calibri" w:hAnsi="Arial" w:cs="Arial"/>
          <w:sz w:val="24"/>
          <w:szCs w:val="24"/>
          <w:lang w:eastAsia="en-US"/>
        </w:rPr>
        <w:t>Nominallohnindex (c)</w:t>
      </w:r>
      <w:r w:rsidR="00997574">
        <w:rPr>
          <w:rFonts w:ascii="Arial" w:eastAsia="Calibri" w:hAnsi="Arial" w:cs="Arial"/>
          <w:sz w:val="24"/>
          <w:szCs w:val="24"/>
          <w:lang w:eastAsia="en-US"/>
        </w:rPr>
        <w:t xml:space="preserve"> und des Verbraucherpreisindex (d). Ferner ist ein systemimmanenter Besoldungsvergleich anzustellen (e).</w:t>
      </w:r>
    </w:p>
    <w:p w14:paraId="0AA50FBD" w14:textId="76ED72BE" w:rsidR="00E13C29" w:rsidRDefault="00E13C29" w:rsidP="00503386">
      <w:pPr>
        <w:overflowPunct/>
        <w:spacing w:line="276" w:lineRule="auto"/>
        <w:jc w:val="both"/>
        <w:textAlignment w:val="auto"/>
        <w:rPr>
          <w:rFonts w:ascii="Arial" w:eastAsia="Calibri" w:hAnsi="Arial" w:cs="Arial"/>
          <w:sz w:val="24"/>
          <w:szCs w:val="24"/>
          <w:lang w:eastAsia="en-US"/>
        </w:rPr>
      </w:pPr>
    </w:p>
    <w:p w14:paraId="50010760" w14:textId="5680F0C1" w:rsidR="00D517A1" w:rsidRDefault="00814C42" w:rsidP="00503386">
      <w:pPr>
        <w:overflowPunct/>
        <w:spacing w:line="276" w:lineRule="auto"/>
        <w:jc w:val="both"/>
        <w:textAlignment w:val="auto"/>
        <w:rPr>
          <w:rFonts w:ascii="Arial" w:eastAsia="Calibri" w:hAnsi="Arial" w:cs="Arial"/>
          <w:sz w:val="24"/>
          <w:szCs w:val="24"/>
          <w:lang w:eastAsia="en-US"/>
        </w:rPr>
      </w:pPr>
      <w:r w:rsidRPr="00814C42">
        <w:rPr>
          <w:rFonts w:ascii="Arial" w:eastAsia="Calibri" w:hAnsi="Arial" w:cs="Arial"/>
          <w:sz w:val="24"/>
          <w:szCs w:val="24"/>
          <w:lang w:eastAsia="en-US"/>
        </w:rPr>
        <w:t xml:space="preserve">a) Die Entwicklung der Grundgehaltssätze </w:t>
      </w:r>
      <w:r w:rsidR="00F85025" w:rsidRPr="003239E1">
        <w:rPr>
          <w:rFonts w:ascii="Arial" w:eastAsia="Calibri" w:hAnsi="Arial" w:cs="Arial"/>
          <w:sz w:val="24"/>
          <w:szCs w:val="24"/>
          <w:lang w:eastAsia="en-US"/>
        </w:rPr>
        <w:t>der Besoldungsgruppen R 1 und R 2</w:t>
      </w:r>
      <w:r w:rsidR="00F85025">
        <w:rPr>
          <w:rFonts w:ascii="Arial" w:eastAsia="Calibri" w:hAnsi="Arial" w:cs="Arial"/>
          <w:sz w:val="24"/>
          <w:szCs w:val="24"/>
          <w:lang w:eastAsia="en-US"/>
        </w:rPr>
        <w:t xml:space="preserve"> </w:t>
      </w:r>
      <w:r w:rsidRPr="00814C42">
        <w:rPr>
          <w:rFonts w:ascii="Arial" w:eastAsia="Calibri" w:hAnsi="Arial" w:cs="Arial"/>
          <w:sz w:val="24"/>
          <w:szCs w:val="24"/>
          <w:lang w:eastAsia="en-US"/>
        </w:rPr>
        <w:t>zuzüglich der Sonderzulagen gestaltete sich wie folgt:</w:t>
      </w:r>
    </w:p>
    <w:p w14:paraId="57352EBD" w14:textId="77777777" w:rsidR="00B65C6D" w:rsidRPr="005E6668" w:rsidRDefault="00B65C6D" w:rsidP="00503386">
      <w:pPr>
        <w:overflowPunct/>
        <w:spacing w:line="276" w:lineRule="auto"/>
        <w:jc w:val="both"/>
        <w:textAlignment w:val="auto"/>
        <w:rPr>
          <w:rFonts w:ascii="Arial" w:eastAsia="Calibri" w:hAnsi="Arial" w:cs="Arial"/>
          <w:sz w:val="24"/>
          <w:szCs w:val="24"/>
          <w:lang w:eastAsia="en-US"/>
        </w:rPr>
      </w:pPr>
    </w:p>
    <w:p w14:paraId="7D69544D" w14:textId="05745FFB" w:rsidR="00814C42" w:rsidRPr="005E6668" w:rsidRDefault="00814C42" w:rsidP="00503386">
      <w:pPr>
        <w:overflowPunct/>
        <w:spacing w:line="276" w:lineRule="auto"/>
        <w:jc w:val="both"/>
        <w:textAlignment w:val="auto"/>
        <w:rPr>
          <w:rFonts w:ascii="Arial" w:eastAsia="Calibri" w:hAnsi="Arial" w:cs="Arial"/>
          <w:sz w:val="24"/>
          <w:szCs w:val="24"/>
          <w:lang w:eastAsia="en-US"/>
        </w:rPr>
      </w:pPr>
      <w:r w:rsidRPr="005E6668">
        <w:rPr>
          <w:rFonts w:ascii="Arial" w:eastAsia="Calibri" w:hAnsi="Arial" w:cs="Arial"/>
          <w:sz w:val="24"/>
          <w:szCs w:val="24"/>
          <w:lang w:eastAsia="en-US"/>
        </w:rPr>
        <w:t>aa) Die Grundgehaltssätze und Amtszulagen wurden zum 1. Januar 1995 um 2,0 % durch §</w:t>
      </w:r>
      <w:r w:rsidR="001B2572">
        <w:rPr>
          <w:rFonts w:ascii="Arial" w:eastAsia="Calibri" w:hAnsi="Arial" w:cs="Arial"/>
          <w:sz w:val="24"/>
          <w:szCs w:val="24"/>
          <w:lang w:eastAsia="en-US"/>
        </w:rPr>
        <w:t> </w:t>
      </w:r>
      <w:r w:rsidRPr="005E6668">
        <w:rPr>
          <w:rFonts w:ascii="Arial" w:eastAsia="Calibri" w:hAnsi="Arial" w:cs="Arial"/>
          <w:sz w:val="24"/>
          <w:szCs w:val="24"/>
          <w:lang w:eastAsia="en-US"/>
        </w:rPr>
        <w:t>1 Abs. 1 Nr. 1 und 3 des Art. 2 BBVAnpG 94 vom 24. August 1994 (BGBl I S. 2229), zum 1. Mai 1995 um 3,2 % durch § 1 Abs. 1 Nr. 1 und 3 des Art. 2 BBVAnpG 95 vom 18. Dezember 1995 (BGBl I S. 1942), zum 1. März 1997 um 1,3 % durch Art. 1 Abs. 1 Nr. 1 BBVAnpG 96/97 vom 24. März 1997 (BGBl I S. 590), zum 1. Januar 1998 um 1,5 % durch Art. 1 Abs. 1 Nr. 1 und 3 BBVAnpG 98 vom 6. August 1998 (BGBl I S. 2026), zum 1. Juni 1999 um 2,9 % durch Art. 1 Abs. 1 Nr. 1 und 3 BBVAnpG 99 vom 19. November 1999 (BGBl I S. 2198), durch Art.</w:t>
      </w:r>
      <w:r w:rsidR="001B2572">
        <w:rPr>
          <w:rFonts w:ascii="Arial" w:eastAsia="Calibri" w:hAnsi="Arial" w:cs="Arial"/>
          <w:sz w:val="24"/>
          <w:szCs w:val="24"/>
          <w:lang w:eastAsia="en-US"/>
        </w:rPr>
        <w:t> </w:t>
      </w:r>
      <w:r w:rsidRPr="005E6668">
        <w:rPr>
          <w:rFonts w:ascii="Arial" w:eastAsia="Calibri" w:hAnsi="Arial" w:cs="Arial"/>
          <w:sz w:val="24"/>
          <w:szCs w:val="24"/>
          <w:lang w:eastAsia="en-US"/>
        </w:rPr>
        <w:t>1 Abs. 1 Nr. 1 und 3 BBVAnpG 2000 vom 19. April 2001 (BGBl I S. 618) zum 1. Januar 2001 um 1,8 % und zum 1. Januar 2002 um 2,2 % sowie durch Art. 1 bis 3 BBVAnpG 2003/2004 vom 10. September 2003 (BGBl I S. 1798) zum 1. Juli 2003 um 2,4 %, zum 1.</w:t>
      </w:r>
      <w:r w:rsidR="001B2572">
        <w:rPr>
          <w:rFonts w:ascii="Arial" w:eastAsia="Calibri" w:hAnsi="Arial" w:cs="Arial"/>
          <w:sz w:val="24"/>
          <w:szCs w:val="24"/>
          <w:lang w:eastAsia="en-US"/>
        </w:rPr>
        <w:t> </w:t>
      </w:r>
      <w:r w:rsidRPr="005E6668">
        <w:rPr>
          <w:rFonts w:ascii="Arial" w:eastAsia="Calibri" w:hAnsi="Arial" w:cs="Arial"/>
          <w:sz w:val="24"/>
          <w:szCs w:val="24"/>
          <w:lang w:eastAsia="en-US"/>
        </w:rPr>
        <w:t xml:space="preserve">April 2004 um 1,0 % und zum 1. August 2004 um 1,0 % erhöht (vgl. </w:t>
      </w:r>
      <w:r w:rsidR="00C210E7" w:rsidRPr="00C210E7">
        <w:rPr>
          <w:rFonts w:ascii="Arial" w:eastAsia="Calibri" w:hAnsi="Arial" w:cs="Arial"/>
          <w:sz w:val="24"/>
          <w:szCs w:val="24"/>
          <w:lang w:eastAsia="en-US"/>
        </w:rPr>
        <w:t>BVerfG, Urt. v. 5.5.2015, 2 BvL 17/09 u.a., Juris Rn.</w:t>
      </w:r>
      <w:r w:rsidRPr="005E6668">
        <w:rPr>
          <w:rFonts w:ascii="Arial" w:eastAsia="Calibri" w:hAnsi="Arial" w:cs="Arial"/>
          <w:sz w:val="24"/>
          <w:szCs w:val="24"/>
          <w:lang w:eastAsia="en-US"/>
        </w:rPr>
        <w:t>134&gt;).</w:t>
      </w:r>
      <w:r w:rsidR="006E6BB0" w:rsidRPr="005E6668">
        <w:rPr>
          <w:rFonts w:ascii="Arial" w:eastAsia="Calibri" w:hAnsi="Arial" w:cs="Arial"/>
          <w:sz w:val="24"/>
          <w:szCs w:val="24"/>
          <w:lang w:eastAsia="en-US"/>
        </w:rPr>
        <w:t xml:space="preserve"> </w:t>
      </w:r>
    </w:p>
    <w:p w14:paraId="5D0A2D6D" w14:textId="77777777" w:rsidR="00814C42" w:rsidRPr="005E6668" w:rsidRDefault="00814C42" w:rsidP="00503386">
      <w:pPr>
        <w:overflowPunct/>
        <w:spacing w:line="276" w:lineRule="auto"/>
        <w:jc w:val="both"/>
        <w:textAlignment w:val="auto"/>
        <w:rPr>
          <w:rFonts w:ascii="Arial" w:eastAsia="Calibri" w:hAnsi="Arial" w:cs="Arial"/>
          <w:sz w:val="24"/>
          <w:szCs w:val="24"/>
          <w:lang w:eastAsia="en-US"/>
        </w:rPr>
      </w:pPr>
    </w:p>
    <w:p w14:paraId="003EAE82" w14:textId="526B7266" w:rsidR="00814C42" w:rsidRPr="005E6668" w:rsidRDefault="00814C42" w:rsidP="00503386">
      <w:pPr>
        <w:overflowPunct/>
        <w:spacing w:line="276" w:lineRule="auto"/>
        <w:jc w:val="both"/>
        <w:textAlignment w:val="auto"/>
        <w:rPr>
          <w:rFonts w:ascii="Arial" w:eastAsia="Calibri" w:hAnsi="Arial" w:cs="Arial"/>
          <w:sz w:val="24"/>
          <w:szCs w:val="24"/>
          <w:lang w:eastAsia="en-US"/>
        </w:rPr>
      </w:pPr>
      <w:r w:rsidRPr="005E6668">
        <w:rPr>
          <w:rFonts w:ascii="Arial" w:eastAsia="Calibri" w:hAnsi="Arial" w:cs="Arial"/>
          <w:sz w:val="24"/>
          <w:szCs w:val="24"/>
          <w:lang w:eastAsia="en-US"/>
        </w:rPr>
        <w:lastRenderedPageBreak/>
        <w:t>bb) Nachdem zuletzt im Jahr 2002 auf bundesrechtlicher Grundlage eine Sonderzuwendung in Höhe von 86,31 % der für den Monat Dezember maßgeblichen Bezüge gewährt worden war, senkte das Land Berlin die Sonderzahlung für Beamte und Richter</w:t>
      </w:r>
      <w:r w:rsidR="00BB0834">
        <w:rPr>
          <w:rFonts w:ascii="Arial" w:eastAsia="Calibri" w:hAnsi="Arial" w:cs="Arial"/>
          <w:sz w:val="24"/>
          <w:szCs w:val="24"/>
          <w:lang w:eastAsia="en-US"/>
        </w:rPr>
        <w:t xml:space="preserve"> für das Jahr 2003</w:t>
      </w:r>
      <w:r w:rsidRPr="005E6668">
        <w:rPr>
          <w:rFonts w:ascii="Arial" w:eastAsia="Calibri" w:hAnsi="Arial" w:cs="Arial"/>
          <w:sz w:val="24"/>
          <w:szCs w:val="24"/>
          <w:lang w:eastAsia="en-US"/>
        </w:rPr>
        <w:t xml:space="preserve"> auf einheitlich 640 </w:t>
      </w:r>
      <w:r w:rsidR="00996C9D">
        <w:rPr>
          <w:rFonts w:ascii="Arial" w:eastAsia="Calibri" w:hAnsi="Arial" w:cs="Arial"/>
          <w:sz w:val="24"/>
          <w:szCs w:val="24"/>
          <w:lang w:eastAsia="en-US"/>
        </w:rPr>
        <w:t>€</w:t>
      </w:r>
      <w:r w:rsidRPr="005E6668">
        <w:rPr>
          <w:rFonts w:ascii="Arial" w:eastAsia="Calibri" w:hAnsi="Arial" w:cs="Arial"/>
          <w:sz w:val="24"/>
          <w:szCs w:val="24"/>
          <w:lang w:eastAsia="en-US"/>
        </w:rPr>
        <w:t xml:space="preserve"> (§ 5 Abs. 1 SZG) ab. Eine Gegenüberstellung des Jahresbruttogehalts – in der Endstufe (vgl. BVerfGE 99, 300 &lt;321&gt;) – mit dem Wert, der sich ohne diese Neuregelung ergeben hätte, zeigt, dass die Bezüge in der Besoldungsgruppe R 1 um 5,56</w:t>
      </w:r>
      <w:r w:rsidR="00C0579A">
        <w:rPr>
          <w:rFonts w:ascii="Arial" w:eastAsia="Calibri" w:hAnsi="Arial" w:cs="Arial"/>
          <w:sz w:val="24"/>
          <w:szCs w:val="24"/>
          <w:lang w:eastAsia="en-US"/>
        </w:rPr>
        <w:t> </w:t>
      </w:r>
      <w:r w:rsidRPr="005E6668">
        <w:rPr>
          <w:rFonts w:ascii="Arial" w:eastAsia="Calibri" w:hAnsi="Arial" w:cs="Arial"/>
          <w:sz w:val="24"/>
          <w:szCs w:val="24"/>
          <w:lang w:eastAsia="en-US"/>
        </w:rPr>
        <w:t xml:space="preserve">%, in der Besoldungsgruppe R 2 um 5,64 % und in der Besoldungsgruppe R 3 um 5,72 % vermindert worden sind. Diese erhebliche Besoldungskürzung ist zu berücksichtigen (vgl. </w:t>
      </w:r>
      <w:r w:rsidR="00641603" w:rsidRPr="00641603">
        <w:rPr>
          <w:rFonts w:ascii="Arial" w:eastAsia="Calibri" w:hAnsi="Arial" w:cs="Arial"/>
          <w:sz w:val="24"/>
          <w:szCs w:val="24"/>
          <w:lang w:eastAsia="en-US"/>
        </w:rPr>
        <w:t>BVerfG, Urt. v. 5.5.2015, 2 BvL 17/09 u.a., Juris Rn.</w:t>
      </w:r>
      <w:r w:rsidRPr="005E6668">
        <w:rPr>
          <w:rFonts w:ascii="Arial" w:eastAsia="Calibri" w:hAnsi="Arial" w:cs="Arial"/>
          <w:sz w:val="24"/>
          <w:szCs w:val="24"/>
          <w:lang w:eastAsia="en-US"/>
        </w:rPr>
        <w:t xml:space="preserve"> 135</w:t>
      </w:r>
      <w:r w:rsidR="0050715F">
        <w:rPr>
          <w:rFonts w:ascii="Arial" w:eastAsia="Calibri" w:hAnsi="Arial" w:cs="Arial"/>
          <w:sz w:val="24"/>
          <w:szCs w:val="24"/>
          <w:lang w:eastAsia="en-US"/>
        </w:rPr>
        <w:t xml:space="preserve">; </w:t>
      </w:r>
      <w:r w:rsidR="00F5091F">
        <w:rPr>
          <w:rFonts w:ascii="Arial" w:eastAsia="Calibri" w:hAnsi="Arial" w:cs="Arial"/>
          <w:sz w:val="24"/>
          <w:szCs w:val="24"/>
          <w:lang w:eastAsia="en-US"/>
        </w:rPr>
        <w:t>BVerfG, Besch. v. 17.11.2005, 2 BvL 19/09 u.a., Juris</w:t>
      </w:r>
      <w:r w:rsidR="008564CC">
        <w:rPr>
          <w:rFonts w:ascii="Arial" w:eastAsia="Calibri" w:hAnsi="Arial" w:cs="Arial"/>
          <w:sz w:val="24"/>
          <w:szCs w:val="24"/>
          <w:lang w:eastAsia="en-US"/>
        </w:rPr>
        <w:t xml:space="preserve"> </w:t>
      </w:r>
      <w:r w:rsidRPr="005E6668">
        <w:rPr>
          <w:rFonts w:ascii="Arial" w:eastAsia="Calibri" w:hAnsi="Arial" w:cs="Arial"/>
          <w:sz w:val="24"/>
          <w:szCs w:val="24"/>
          <w:lang w:eastAsia="en-US"/>
        </w:rPr>
        <w:t xml:space="preserve">). Für 2008 und 2009 wurde die Sonderzahlung vorübergehend auf jeweils 940 </w:t>
      </w:r>
      <w:r w:rsidR="00996C9D">
        <w:rPr>
          <w:rFonts w:ascii="Arial" w:eastAsia="Calibri" w:hAnsi="Arial" w:cs="Arial"/>
          <w:sz w:val="24"/>
          <w:szCs w:val="24"/>
          <w:lang w:eastAsia="en-US"/>
        </w:rPr>
        <w:t>€</w:t>
      </w:r>
      <w:r w:rsidRPr="005E6668">
        <w:rPr>
          <w:rFonts w:ascii="Arial" w:eastAsia="Calibri" w:hAnsi="Arial" w:cs="Arial"/>
          <w:sz w:val="24"/>
          <w:szCs w:val="24"/>
          <w:lang w:eastAsia="en-US"/>
        </w:rPr>
        <w:t xml:space="preserve"> angehoben (§ 5 Abs. 1 Satz 2 SZG</w:t>
      </w:r>
      <w:r w:rsidR="008A2ACB">
        <w:rPr>
          <w:rFonts w:ascii="Arial" w:eastAsia="Calibri" w:hAnsi="Arial" w:cs="Arial"/>
          <w:sz w:val="24"/>
          <w:szCs w:val="24"/>
          <w:lang w:eastAsia="en-US"/>
        </w:rPr>
        <w:t xml:space="preserve"> </w:t>
      </w:r>
      <w:r w:rsidR="00901708">
        <w:rPr>
          <w:rFonts w:ascii="Arial" w:eastAsia="Calibri" w:hAnsi="Arial" w:cs="Arial"/>
          <w:sz w:val="24"/>
          <w:szCs w:val="24"/>
          <w:lang w:eastAsia="en-US"/>
        </w:rPr>
        <w:t>in der Fassung vom 1. Oktober 2008, GVBl. 2008, 271</w:t>
      </w:r>
      <w:r w:rsidRPr="005E6668">
        <w:rPr>
          <w:rFonts w:ascii="Arial" w:eastAsia="Calibri" w:hAnsi="Arial" w:cs="Arial"/>
          <w:sz w:val="24"/>
          <w:szCs w:val="24"/>
          <w:lang w:eastAsia="en-US"/>
        </w:rPr>
        <w:t xml:space="preserve">). Anschließend betrug die Sonderzahlung wie zuvor 640 </w:t>
      </w:r>
      <w:r w:rsidR="00996C9D">
        <w:rPr>
          <w:rFonts w:ascii="Arial" w:eastAsia="Calibri" w:hAnsi="Arial" w:cs="Arial"/>
          <w:sz w:val="24"/>
          <w:szCs w:val="24"/>
          <w:lang w:eastAsia="en-US"/>
        </w:rPr>
        <w:t>€</w:t>
      </w:r>
      <w:r w:rsidRPr="005E6668">
        <w:rPr>
          <w:rFonts w:ascii="Arial" w:eastAsia="Calibri" w:hAnsi="Arial" w:cs="Arial"/>
          <w:sz w:val="24"/>
          <w:szCs w:val="24"/>
          <w:lang w:eastAsia="en-US"/>
        </w:rPr>
        <w:t xml:space="preserve">. Dies bewirkte in den Jahren 2008 beziehungsweise 2010 in der Besoldungsgruppe R 1 eine effektive Besoldungsveränderung von 0,49 %, in der Besoldungsgruppe R 2 von 0,45 % </w:t>
      </w:r>
      <w:r w:rsidR="00BB0834">
        <w:rPr>
          <w:rFonts w:ascii="Arial" w:eastAsia="Calibri" w:hAnsi="Arial" w:cs="Arial"/>
          <w:sz w:val="24"/>
          <w:szCs w:val="24"/>
          <w:lang w:eastAsia="en-US"/>
        </w:rPr>
        <w:t>(</w:t>
      </w:r>
      <w:r w:rsidRPr="005E6668">
        <w:rPr>
          <w:rFonts w:ascii="Arial" w:eastAsia="Calibri" w:hAnsi="Arial" w:cs="Arial"/>
          <w:sz w:val="24"/>
          <w:szCs w:val="24"/>
          <w:lang w:eastAsia="en-US"/>
        </w:rPr>
        <w:t>und in der Besoldungsgruppe R 3 von 0,41 %</w:t>
      </w:r>
      <w:r w:rsidR="00BB0834">
        <w:rPr>
          <w:rFonts w:ascii="Arial" w:eastAsia="Calibri" w:hAnsi="Arial" w:cs="Arial"/>
          <w:sz w:val="24"/>
          <w:szCs w:val="24"/>
          <w:lang w:eastAsia="en-US"/>
        </w:rPr>
        <w:t>)</w:t>
      </w:r>
      <w:r w:rsidRPr="005E6668">
        <w:rPr>
          <w:rFonts w:ascii="Arial" w:eastAsia="Calibri" w:hAnsi="Arial" w:cs="Arial"/>
          <w:sz w:val="24"/>
          <w:szCs w:val="24"/>
          <w:lang w:eastAsia="en-US"/>
        </w:rPr>
        <w:t>.</w:t>
      </w:r>
    </w:p>
    <w:p w14:paraId="1F00B084" w14:textId="7880692E" w:rsidR="00814C42" w:rsidRPr="005E6668" w:rsidRDefault="00814C42" w:rsidP="00503386">
      <w:pPr>
        <w:overflowPunct/>
        <w:spacing w:line="276" w:lineRule="auto"/>
        <w:jc w:val="both"/>
        <w:textAlignment w:val="auto"/>
        <w:rPr>
          <w:rFonts w:ascii="Arial" w:eastAsia="Calibri" w:hAnsi="Arial" w:cs="Arial"/>
          <w:sz w:val="24"/>
          <w:szCs w:val="24"/>
          <w:lang w:eastAsia="en-US"/>
        </w:rPr>
      </w:pPr>
    </w:p>
    <w:p w14:paraId="153947C1" w14:textId="45A95F5B" w:rsidR="00B65C6D" w:rsidRDefault="00814C42" w:rsidP="00503386">
      <w:pPr>
        <w:overflowPunct/>
        <w:spacing w:line="276" w:lineRule="auto"/>
        <w:jc w:val="both"/>
        <w:textAlignment w:val="auto"/>
        <w:rPr>
          <w:rFonts w:ascii="Arial" w:eastAsia="Calibri" w:hAnsi="Arial" w:cs="Arial"/>
          <w:sz w:val="24"/>
          <w:szCs w:val="24"/>
          <w:lang w:eastAsia="en-US"/>
        </w:rPr>
      </w:pPr>
      <w:r w:rsidRPr="005E6668">
        <w:rPr>
          <w:rFonts w:ascii="Arial" w:eastAsia="Calibri" w:hAnsi="Arial" w:cs="Arial"/>
          <w:sz w:val="24"/>
          <w:szCs w:val="24"/>
          <w:lang w:eastAsia="en-US"/>
        </w:rPr>
        <w:t>cc) In den Jahren 2005 bis 2009 wurden die Grundgehaltssätze nicht angepasst. Zum 1.</w:t>
      </w:r>
      <w:r w:rsidR="00C0579A">
        <w:rPr>
          <w:rFonts w:ascii="Arial" w:eastAsia="Calibri" w:hAnsi="Arial" w:cs="Arial"/>
          <w:sz w:val="24"/>
          <w:szCs w:val="24"/>
          <w:lang w:eastAsia="en-US"/>
        </w:rPr>
        <w:t> </w:t>
      </w:r>
      <w:r w:rsidRPr="005E6668">
        <w:rPr>
          <w:rFonts w:ascii="Arial" w:eastAsia="Calibri" w:hAnsi="Arial" w:cs="Arial"/>
          <w:sz w:val="24"/>
          <w:szCs w:val="24"/>
          <w:lang w:eastAsia="en-US"/>
        </w:rPr>
        <w:t xml:space="preserve">August 2010 wurden sie mit dem BerlBVAnpG 2010/2011 um 1,5 % erhöht. In der Endstufe der Besoldungsgruppe R 1 betrug </w:t>
      </w:r>
      <w:r w:rsidR="00BB0834">
        <w:rPr>
          <w:rFonts w:ascii="Arial" w:eastAsia="Calibri" w:hAnsi="Arial" w:cs="Arial"/>
          <w:sz w:val="24"/>
          <w:szCs w:val="24"/>
          <w:lang w:eastAsia="en-US"/>
        </w:rPr>
        <w:t>die Erhöhung</w:t>
      </w:r>
      <w:r w:rsidR="00BB0834" w:rsidRPr="005E6668">
        <w:rPr>
          <w:rFonts w:ascii="Arial" w:eastAsia="Calibri" w:hAnsi="Arial" w:cs="Arial"/>
          <w:sz w:val="24"/>
          <w:szCs w:val="24"/>
          <w:lang w:eastAsia="en-US"/>
        </w:rPr>
        <w:t xml:space="preserve"> </w:t>
      </w:r>
      <w:r w:rsidRPr="005E6668">
        <w:rPr>
          <w:rFonts w:ascii="Arial" w:eastAsia="Calibri" w:hAnsi="Arial" w:cs="Arial"/>
          <w:sz w:val="24"/>
          <w:szCs w:val="24"/>
          <w:lang w:eastAsia="en-US"/>
        </w:rPr>
        <w:t xml:space="preserve">2,33 %, in der Endstufe der Besoldungsgruppe R 2 2,30 %. Die Bezüge in der Besoldungsgruppe R 3 stiegen um 2,01 %. Das BerlBVAnpG 2012/2013 bewirkte eine Erhöhung der Grundgehaltssätze mit Wirkung vom 1. August 2012 und 2013 um jeweils 2 %. Zum 1. August 2014 und zum 1. August 2015 wurden sie – </w:t>
      </w:r>
      <w:bookmarkStart w:id="10" w:name="_Hlk88230389"/>
      <w:r w:rsidRPr="005E6668">
        <w:rPr>
          <w:rFonts w:ascii="Arial" w:eastAsia="Calibri" w:hAnsi="Arial" w:cs="Arial"/>
          <w:sz w:val="24"/>
          <w:szCs w:val="24"/>
          <w:lang w:eastAsia="en-US"/>
        </w:rPr>
        <w:t xml:space="preserve">unter Berücksichtigung des Versorgungsabschlags </w:t>
      </w:r>
      <w:bookmarkEnd w:id="10"/>
      <w:r w:rsidRPr="005E6668">
        <w:rPr>
          <w:rFonts w:ascii="Arial" w:eastAsia="Calibri" w:hAnsi="Arial" w:cs="Arial"/>
          <w:sz w:val="24"/>
          <w:szCs w:val="24"/>
          <w:lang w:eastAsia="en-US"/>
        </w:rPr>
        <w:t xml:space="preserve">im letztgenannten Fall – durch das </w:t>
      </w:r>
      <w:r w:rsidRPr="009F49F2">
        <w:rPr>
          <w:rFonts w:ascii="Arial" w:eastAsia="Calibri" w:hAnsi="Arial" w:cs="Arial"/>
          <w:sz w:val="24"/>
          <w:szCs w:val="24"/>
          <w:lang w:eastAsia="en-US"/>
        </w:rPr>
        <w:t>BerlBVAnpG 2014/2015 um weitere 3,0 % angehoben.</w:t>
      </w:r>
      <w:r w:rsidR="00356154" w:rsidRPr="009F49F2">
        <w:rPr>
          <w:rFonts w:ascii="Arial" w:eastAsia="Calibri" w:hAnsi="Arial" w:cs="Arial"/>
          <w:sz w:val="24"/>
          <w:szCs w:val="24"/>
          <w:lang w:eastAsia="en-US"/>
        </w:rPr>
        <w:t xml:space="preserve"> </w:t>
      </w:r>
      <w:r w:rsidR="00113DAB" w:rsidRPr="009F49F2">
        <w:rPr>
          <w:rFonts w:ascii="Arial" w:eastAsia="Calibri" w:hAnsi="Arial" w:cs="Arial"/>
          <w:sz w:val="24"/>
          <w:szCs w:val="24"/>
          <w:lang w:eastAsia="en-US"/>
        </w:rPr>
        <w:t xml:space="preserve">Durch das BerlBVAnpG 2016 wurden die Grundgehaltssätze und der Familienzuschlag - unter Berücksichtigung des Versorgungsabschlags - zum 1. August 2016 um 2,8 % erhöht. </w:t>
      </w:r>
      <w:r w:rsidR="009F49F2" w:rsidRPr="009F49F2">
        <w:rPr>
          <w:rFonts w:ascii="Arial" w:eastAsia="Calibri" w:hAnsi="Arial" w:cs="Arial"/>
          <w:sz w:val="24"/>
          <w:szCs w:val="24"/>
          <w:lang w:eastAsia="en-US"/>
        </w:rPr>
        <w:t>Mit</w:t>
      </w:r>
      <w:r w:rsidR="00113DAB" w:rsidRPr="009F49F2">
        <w:rPr>
          <w:rFonts w:ascii="Arial" w:eastAsia="Calibri" w:hAnsi="Arial" w:cs="Arial"/>
          <w:sz w:val="24"/>
          <w:szCs w:val="24"/>
          <w:lang w:eastAsia="en-US"/>
        </w:rPr>
        <w:t xml:space="preserve"> dem BerlBVAnpG 2017/2018 vom 20.</w:t>
      </w:r>
      <w:r w:rsidR="00C0579A">
        <w:rPr>
          <w:rFonts w:ascii="Arial" w:eastAsia="Calibri" w:hAnsi="Arial" w:cs="Arial"/>
          <w:sz w:val="24"/>
          <w:szCs w:val="24"/>
          <w:lang w:eastAsia="en-US"/>
        </w:rPr>
        <w:t> </w:t>
      </w:r>
      <w:r w:rsidR="00113DAB" w:rsidRPr="009F49F2">
        <w:rPr>
          <w:rFonts w:ascii="Arial" w:eastAsia="Calibri" w:hAnsi="Arial" w:cs="Arial"/>
          <w:sz w:val="24"/>
          <w:szCs w:val="24"/>
          <w:lang w:eastAsia="en-US"/>
        </w:rPr>
        <w:t>Juli 2017 (GVBl</w:t>
      </w:r>
      <w:r w:rsidR="003F40B1">
        <w:rPr>
          <w:rFonts w:ascii="Arial" w:eastAsia="Calibri" w:hAnsi="Arial" w:cs="Arial"/>
          <w:sz w:val="24"/>
          <w:szCs w:val="24"/>
          <w:lang w:eastAsia="en-US"/>
        </w:rPr>
        <w:t>.</w:t>
      </w:r>
      <w:r w:rsidR="00113DAB" w:rsidRPr="009F49F2">
        <w:rPr>
          <w:rFonts w:ascii="Arial" w:eastAsia="Calibri" w:hAnsi="Arial" w:cs="Arial"/>
          <w:sz w:val="24"/>
          <w:szCs w:val="24"/>
          <w:lang w:eastAsia="en-US"/>
        </w:rPr>
        <w:t xml:space="preserve"> S. 382) wurden die Grundgehaltssätze</w:t>
      </w:r>
      <w:r w:rsidR="009F49F2" w:rsidRPr="009F49F2">
        <w:rPr>
          <w:rFonts w:ascii="Arial" w:eastAsia="Calibri" w:hAnsi="Arial" w:cs="Arial"/>
          <w:sz w:val="24"/>
          <w:szCs w:val="24"/>
          <w:lang w:eastAsia="en-US"/>
        </w:rPr>
        <w:t xml:space="preserve"> und der </w:t>
      </w:r>
      <w:r w:rsidR="00113DAB" w:rsidRPr="009F49F2">
        <w:rPr>
          <w:rFonts w:ascii="Arial" w:eastAsia="Calibri" w:hAnsi="Arial" w:cs="Arial"/>
          <w:sz w:val="24"/>
          <w:szCs w:val="24"/>
          <w:lang w:eastAsia="en-US"/>
        </w:rPr>
        <w:t xml:space="preserve">Familienzuschlag zum 1. August 2017 </w:t>
      </w:r>
      <w:r w:rsidR="009F49F2" w:rsidRPr="009F49F2">
        <w:rPr>
          <w:rFonts w:ascii="Arial" w:eastAsia="Calibri" w:hAnsi="Arial" w:cs="Arial"/>
          <w:sz w:val="24"/>
          <w:szCs w:val="24"/>
          <w:lang w:eastAsia="en-US"/>
        </w:rPr>
        <w:t xml:space="preserve">- unter Berücksichtigung des Versorgungsabschlags - </w:t>
      </w:r>
      <w:r w:rsidR="00113DAB" w:rsidRPr="009F49F2">
        <w:rPr>
          <w:rFonts w:ascii="Arial" w:eastAsia="Calibri" w:hAnsi="Arial" w:cs="Arial"/>
          <w:sz w:val="24"/>
          <w:szCs w:val="24"/>
          <w:lang w:eastAsia="en-US"/>
        </w:rPr>
        <w:t>um 2,</w:t>
      </w:r>
      <w:r w:rsidR="009F49F2" w:rsidRPr="009F49F2">
        <w:rPr>
          <w:rFonts w:ascii="Arial" w:eastAsia="Calibri" w:hAnsi="Arial" w:cs="Arial"/>
          <w:sz w:val="24"/>
          <w:szCs w:val="24"/>
          <w:lang w:eastAsia="en-US"/>
        </w:rPr>
        <w:t>6</w:t>
      </w:r>
      <w:r w:rsidR="00113DAB" w:rsidRPr="009F49F2">
        <w:rPr>
          <w:rFonts w:ascii="Arial" w:eastAsia="Calibri" w:hAnsi="Arial" w:cs="Arial"/>
          <w:sz w:val="24"/>
          <w:szCs w:val="24"/>
          <w:lang w:eastAsia="en-US"/>
        </w:rPr>
        <w:t xml:space="preserve"> % und zum 1. Juni 2018 um 3,2</w:t>
      </w:r>
      <w:r w:rsidR="001A4790">
        <w:rPr>
          <w:rFonts w:ascii="Arial" w:eastAsia="Calibri" w:hAnsi="Arial" w:cs="Arial"/>
          <w:sz w:val="24"/>
          <w:szCs w:val="24"/>
          <w:lang w:eastAsia="en-US"/>
        </w:rPr>
        <w:t xml:space="preserve"> </w:t>
      </w:r>
      <w:r w:rsidR="00113DAB" w:rsidRPr="009F49F2">
        <w:rPr>
          <w:rFonts w:ascii="Arial" w:eastAsia="Calibri" w:hAnsi="Arial" w:cs="Arial"/>
          <w:sz w:val="24"/>
          <w:szCs w:val="24"/>
          <w:lang w:eastAsia="en-US"/>
        </w:rPr>
        <w:t xml:space="preserve">% erhöht. </w:t>
      </w:r>
      <w:r w:rsidR="009F49F2" w:rsidRPr="009F49F2">
        <w:rPr>
          <w:rFonts w:ascii="Arial" w:eastAsia="Calibri" w:hAnsi="Arial" w:cs="Arial"/>
          <w:sz w:val="24"/>
          <w:szCs w:val="24"/>
          <w:lang w:eastAsia="en-US"/>
        </w:rPr>
        <w:t xml:space="preserve">Durch das </w:t>
      </w:r>
      <w:r w:rsidR="00113DAB" w:rsidRPr="009F49F2">
        <w:rPr>
          <w:rFonts w:ascii="Arial" w:eastAsia="Calibri" w:hAnsi="Arial" w:cs="Arial"/>
          <w:sz w:val="24"/>
          <w:szCs w:val="24"/>
          <w:lang w:eastAsia="en-US"/>
        </w:rPr>
        <w:t>BerlBVAnpG 2019/2020 vom 5. September 2019 (GVBl</w:t>
      </w:r>
      <w:r w:rsidR="003F40B1">
        <w:rPr>
          <w:rFonts w:ascii="Arial" w:eastAsia="Calibri" w:hAnsi="Arial" w:cs="Arial"/>
          <w:sz w:val="24"/>
          <w:szCs w:val="24"/>
          <w:lang w:eastAsia="en-US"/>
        </w:rPr>
        <w:t>.</w:t>
      </w:r>
      <w:r w:rsidR="00113DAB" w:rsidRPr="009F49F2">
        <w:rPr>
          <w:rFonts w:ascii="Arial" w:eastAsia="Calibri" w:hAnsi="Arial" w:cs="Arial"/>
          <w:sz w:val="24"/>
          <w:szCs w:val="24"/>
          <w:lang w:eastAsia="en-US"/>
        </w:rPr>
        <w:t xml:space="preserve"> S. 551) wurden Grundgehaltssätze</w:t>
      </w:r>
      <w:r w:rsidR="009F49F2" w:rsidRPr="009F49F2">
        <w:rPr>
          <w:rFonts w:ascii="Arial" w:eastAsia="Calibri" w:hAnsi="Arial" w:cs="Arial"/>
          <w:sz w:val="24"/>
          <w:szCs w:val="24"/>
          <w:lang w:eastAsia="en-US"/>
        </w:rPr>
        <w:t xml:space="preserve"> und </w:t>
      </w:r>
      <w:r w:rsidR="00113DAB" w:rsidRPr="009F49F2">
        <w:rPr>
          <w:rFonts w:ascii="Arial" w:eastAsia="Calibri" w:hAnsi="Arial" w:cs="Arial"/>
          <w:sz w:val="24"/>
          <w:szCs w:val="24"/>
          <w:lang w:eastAsia="en-US"/>
        </w:rPr>
        <w:t>Familienzuschlag zum 1. April 2019 und zum 1. Februar 2020 um je 4,3 % erhöht</w:t>
      </w:r>
      <w:r w:rsidR="009F49F2" w:rsidRPr="009F49F2">
        <w:rPr>
          <w:rFonts w:ascii="Arial" w:eastAsia="Calibri" w:hAnsi="Arial" w:cs="Arial"/>
          <w:sz w:val="24"/>
          <w:szCs w:val="24"/>
          <w:lang w:eastAsia="en-US"/>
        </w:rPr>
        <w:t xml:space="preserve">. </w:t>
      </w:r>
    </w:p>
    <w:p w14:paraId="68905419" w14:textId="77777777" w:rsidR="00602FEA" w:rsidRDefault="00602FEA" w:rsidP="00503386">
      <w:pPr>
        <w:overflowPunct/>
        <w:spacing w:line="276" w:lineRule="auto"/>
        <w:jc w:val="both"/>
        <w:textAlignment w:val="auto"/>
        <w:rPr>
          <w:rFonts w:ascii="Arial" w:eastAsia="Calibri" w:hAnsi="Arial" w:cs="Arial"/>
          <w:sz w:val="24"/>
          <w:szCs w:val="24"/>
          <w:lang w:eastAsia="en-US"/>
        </w:rPr>
      </w:pPr>
    </w:p>
    <w:p w14:paraId="3E1CAD5E" w14:textId="15F85A70" w:rsidR="00602FEA" w:rsidRPr="00E51051" w:rsidRDefault="00A73651" w:rsidP="00503386">
      <w:pPr>
        <w:overflowPunct/>
        <w:spacing w:line="276" w:lineRule="auto"/>
        <w:jc w:val="both"/>
        <w:textAlignment w:val="auto"/>
        <w:rPr>
          <w:rFonts w:ascii="Arial" w:eastAsia="Calibri" w:hAnsi="Arial" w:cs="Arial"/>
          <w:color w:val="0070C0"/>
          <w:sz w:val="24"/>
          <w:szCs w:val="24"/>
          <w:lang w:eastAsia="en-US"/>
        </w:rPr>
      </w:pPr>
      <w:r>
        <w:rPr>
          <w:rFonts w:ascii="Arial" w:eastAsia="Calibri" w:hAnsi="Arial" w:cs="Arial"/>
          <w:sz w:val="24"/>
          <w:szCs w:val="24"/>
          <w:lang w:eastAsia="en-US"/>
        </w:rPr>
        <w:t>Fü</w:t>
      </w:r>
      <w:r w:rsidR="00D66271">
        <w:rPr>
          <w:rFonts w:ascii="Arial" w:eastAsia="Calibri" w:hAnsi="Arial" w:cs="Arial"/>
          <w:sz w:val="24"/>
          <w:szCs w:val="24"/>
          <w:lang w:eastAsia="en-US"/>
        </w:rPr>
        <w:t>r das Jahr 2017 wurde d</w:t>
      </w:r>
      <w:r w:rsidR="009D7B57">
        <w:rPr>
          <w:rFonts w:ascii="Arial" w:eastAsia="Calibri" w:hAnsi="Arial" w:cs="Arial"/>
          <w:sz w:val="24"/>
          <w:szCs w:val="24"/>
          <w:lang w:eastAsia="en-US"/>
        </w:rPr>
        <w:t xml:space="preserve">ie seit 2010 (wieder) 640 </w:t>
      </w:r>
      <w:r w:rsidR="00996C9D">
        <w:rPr>
          <w:rFonts w:ascii="Arial" w:eastAsia="Calibri" w:hAnsi="Arial" w:cs="Arial"/>
          <w:sz w:val="24"/>
          <w:szCs w:val="24"/>
          <w:lang w:eastAsia="en-US"/>
        </w:rPr>
        <w:t>€</w:t>
      </w:r>
      <w:r w:rsidR="009D7B57">
        <w:rPr>
          <w:rFonts w:ascii="Arial" w:eastAsia="Calibri" w:hAnsi="Arial" w:cs="Arial"/>
          <w:sz w:val="24"/>
          <w:szCs w:val="24"/>
          <w:lang w:eastAsia="en-US"/>
        </w:rPr>
        <w:t xml:space="preserve"> </w:t>
      </w:r>
      <w:r w:rsidR="007F4273">
        <w:rPr>
          <w:rFonts w:ascii="Arial" w:eastAsia="Calibri" w:hAnsi="Arial" w:cs="Arial"/>
          <w:sz w:val="24"/>
          <w:szCs w:val="24"/>
          <w:lang w:eastAsia="en-US"/>
        </w:rPr>
        <w:t xml:space="preserve">betragende Sonderzahlung </w:t>
      </w:r>
      <w:r w:rsidR="00067A9A">
        <w:rPr>
          <w:rFonts w:ascii="Arial" w:eastAsia="Calibri" w:hAnsi="Arial" w:cs="Arial"/>
          <w:sz w:val="24"/>
          <w:szCs w:val="24"/>
          <w:lang w:eastAsia="en-US"/>
        </w:rPr>
        <w:t>durch</w:t>
      </w:r>
      <w:r w:rsidR="004727FF">
        <w:rPr>
          <w:rFonts w:ascii="Arial" w:eastAsia="Calibri" w:hAnsi="Arial" w:cs="Arial"/>
          <w:sz w:val="24"/>
          <w:szCs w:val="24"/>
          <w:lang w:eastAsia="en-US"/>
        </w:rPr>
        <w:t xml:space="preserve"> das</w:t>
      </w:r>
      <w:r w:rsidR="00067A9A" w:rsidRPr="00067A9A">
        <w:rPr>
          <w:rFonts w:ascii="Arial" w:eastAsia="Calibri" w:hAnsi="Arial" w:cs="Arial"/>
          <w:sz w:val="24"/>
          <w:szCs w:val="24"/>
          <w:lang w:eastAsia="en-US"/>
        </w:rPr>
        <w:t xml:space="preserve"> BerlBVAnpG 2017/2018 vom 20. Juli 2017 (GVBl</w:t>
      </w:r>
      <w:r w:rsidR="003F40B1">
        <w:rPr>
          <w:rFonts w:ascii="Arial" w:eastAsia="Calibri" w:hAnsi="Arial" w:cs="Arial"/>
          <w:sz w:val="24"/>
          <w:szCs w:val="24"/>
          <w:lang w:eastAsia="en-US"/>
        </w:rPr>
        <w:t>.</w:t>
      </w:r>
      <w:r w:rsidR="00067A9A" w:rsidRPr="00067A9A">
        <w:rPr>
          <w:rFonts w:ascii="Arial" w:eastAsia="Calibri" w:hAnsi="Arial" w:cs="Arial"/>
          <w:sz w:val="24"/>
          <w:szCs w:val="24"/>
          <w:lang w:eastAsia="en-US"/>
        </w:rPr>
        <w:t xml:space="preserve"> S. 382)</w:t>
      </w:r>
      <w:r w:rsidR="004727FF">
        <w:rPr>
          <w:rFonts w:ascii="Arial" w:eastAsia="Calibri" w:hAnsi="Arial" w:cs="Arial"/>
          <w:sz w:val="24"/>
          <w:szCs w:val="24"/>
          <w:lang w:eastAsia="en-US"/>
        </w:rPr>
        <w:t xml:space="preserve"> </w:t>
      </w:r>
      <w:r w:rsidR="00073A5F">
        <w:rPr>
          <w:rFonts w:ascii="Arial" w:eastAsia="Calibri" w:hAnsi="Arial" w:cs="Arial"/>
          <w:sz w:val="24"/>
          <w:szCs w:val="24"/>
          <w:lang w:eastAsia="en-US"/>
        </w:rPr>
        <w:t>fü</w:t>
      </w:r>
      <w:r w:rsidR="00D66271">
        <w:rPr>
          <w:rFonts w:ascii="Arial" w:eastAsia="Calibri" w:hAnsi="Arial" w:cs="Arial"/>
          <w:sz w:val="24"/>
          <w:szCs w:val="24"/>
          <w:lang w:eastAsia="en-US"/>
        </w:rPr>
        <w:t>r die Besoldungsgruppen A</w:t>
      </w:r>
      <w:bookmarkStart w:id="11" w:name="_Hlk95414619"/>
      <w:r w:rsidR="00C0579A">
        <w:rPr>
          <w:rFonts w:ascii="Arial" w:eastAsia="Calibri" w:hAnsi="Arial" w:cs="Arial"/>
          <w:sz w:val="24"/>
          <w:szCs w:val="24"/>
          <w:lang w:eastAsia="en-US"/>
        </w:rPr>
        <w:t> </w:t>
      </w:r>
      <w:bookmarkEnd w:id="11"/>
      <w:r w:rsidR="00D66271">
        <w:rPr>
          <w:rFonts w:ascii="Arial" w:eastAsia="Calibri" w:hAnsi="Arial" w:cs="Arial"/>
          <w:sz w:val="24"/>
          <w:szCs w:val="24"/>
          <w:lang w:eastAsia="en-US"/>
        </w:rPr>
        <w:t>4 bis A</w:t>
      </w:r>
      <w:r w:rsidR="00602895">
        <w:rPr>
          <w:rFonts w:ascii="Arial" w:eastAsia="Calibri" w:hAnsi="Arial" w:cs="Arial"/>
          <w:sz w:val="24"/>
          <w:szCs w:val="24"/>
          <w:lang w:eastAsia="en-US"/>
        </w:rPr>
        <w:t xml:space="preserve"> </w:t>
      </w:r>
      <w:r w:rsidR="00D66271">
        <w:rPr>
          <w:rFonts w:ascii="Arial" w:eastAsia="Calibri" w:hAnsi="Arial" w:cs="Arial"/>
          <w:sz w:val="24"/>
          <w:szCs w:val="24"/>
          <w:lang w:eastAsia="en-US"/>
        </w:rPr>
        <w:t xml:space="preserve">9 auf </w:t>
      </w:r>
      <w:r w:rsidR="00567BAB">
        <w:rPr>
          <w:rFonts w:ascii="Arial" w:eastAsia="Calibri" w:hAnsi="Arial" w:cs="Arial"/>
          <w:sz w:val="24"/>
          <w:szCs w:val="24"/>
          <w:lang w:eastAsia="en-US"/>
        </w:rPr>
        <w:t xml:space="preserve">1.000 </w:t>
      </w:r>
      <w:r w:rsidR="00996C9D">
        <w:rPr>
          <w:rFonts w:ascii="Arial" w:eastAsia="Calibri" w:hAnsi="Arial" w:cs="Arial"/>
          <w:sz w:val="24"/>
          <w:szCs w:val="24"/>
          <w:lang w:eastAsia="en-US"/>
        </w:rPr>
        <w:t>€</w:t>
      </w:r>
      <w:r w:rsidR="00567BAB">
        <w:rPr>
          <w:rFonts w:ascii="Arial" w:eastAsia="Calibri" w:hAnsi="Arial" w:cs="Arial"/>
          <w:sz w:val="24"/>
          <w:szCs w:val="24"/>
          <w:lang w:eastAsia="en-US"/>
        </w:rPr>
        <w:t xml:space="preserve"> und für die übrigen Besoldungsgruppen auf 800 </w:t>
      </w:r>
      <w:r w:rsidR="00996C9D">
        <w:rPr>
          <w:rFonts w:ascii="Arial" w:eastAsia="Calibri" w:hAnsi="Arial" w:cs="Arial"/>
          <w:sz w:val="24"/>
          <w:szCs w:val="24"/>
          <w:lang w:eastAsia="en-US"/>
        </w:rPr>
        <w:t>€</w:t>
      </w:r>
      <w:r w:rsidR="00567BAB">
        <w:rPr>
          <w:rFonts w:ascii="Arial" w:eastAsia="Calibri" w:hAnsi="Arial" w:cs="Arial"/>
          <w:sz w:val="24"/>
          <w:szCs w:val="24"/>
          <w:lang w:eastAsia="en-US"/>
        </w:rPr>
        <w:t xml:space="preserve"> angehoben</w:t>
      </w:r>
      <w:r w:rsidR="000A6DE6">
        <w:rPr>
          <w:rFonts w:ascii="Arial" w:eastAsia="Calibri" w:hAnsi="Arial" w:cs="Arial"/>
          <w:sz w:val="24"/>
          <w:szCs w:val="24"/>
          <w:lang w:eastAsia="en-US"/>
        </w:rPr>
        <w:t xml:space="preserve">. </w:t>
      </w:r>
      <w:r w:rsidR="00F04970">
        <w:rPr>
          <w:rFonts w:ascii="Arial" w:eastAsia="Calibri" w:hAnsi="Arial" w:cs="Arial"/>
          <w:sz w:val="24"/>
          <w:szCs w:val="24"/>
          <w:lang w:eastAsia="en-US"/>
        </w:rPr>
        <w:t>Mit dem 2.</w:t>
      </w:r>
      <w:r w:rsidR="00640206">
        <w:rPr>
          <w:rFonts w:ascii="Arial" w:eastAsia="Calibri" w:hAnsi="Arial" w:cs="Arial"/>
          <w:sz w:val="24"/>
          <w:szCs w:val="24"/>
          <w:lang w:eastAsia="en-US"/>
        </w:rPr>
        <w:t> </w:t>
      </w:r>
      <w:r w:rsidR="00F04970">
        <w:rPr>
          <w:rFonts w:ascii="Arial" w:eastAsia="Calibri" w:hAnsi="Arial" w:cs="Arial"/>
          <w:sz w:val="24"/>
          <w:szCs w:val="24"/>
          <w:lang w:eastAsia="en-US"/>
        </w:rPr>
        <w:t>S</w:t>
      </w:r>
      <w:r w:rsidR="006739F3">
        <w:rPr>
          <w:rFonts w:ascii="Arial" w:eastAsia="Calibri" w:hAnsi="Arial" w:cs="Arial"/>
          <w:sz w:val="24"/>
          <w:szCs w:val="24"/>
          <w:lang w:eastAsia="en-US"/>
        </w:rPr>
        <w:t xml:space="preserve">ZÄndG vom 18. Dezember 2018 wurde </w:t>
      </w:r>
      <w:r w:rsidR="00437328">
        <w:rPr>
          <w:rFonts w:ascii="Arial" w:eastAsia="Calibri" w:hAnsi="Arial" w:cs="Arial"/>
          <w:sz w:val="24"/>
          <w:szCs w:val="24"/>
          <w:lang w:eastAsia="en-US"/>
        </w:rPr>
        <w:t xml:space="preserve">die Sonderzahlung </w:t>
      </w:r>
      <w:r w:rsidR="003E6B8B">
        <w:rPr>
          <w:rFonts w:ascii="Arial" w:eastAsia="Calibri" w:hAnsi="Arial" w:cs="Arial"/>
          <w:sz w:val="24"/>
          <w:szCs w:val="24"/>
          <w:lang w:eastAsia="en-US"/>
        </w:rPr>
        <w:t xml:space="preserve">ab dem Jahr 2018 </w:t>
      </w:r>
      <w:r w:rsidR="005E74A7">
        <w:rPr>
          <w:rFonts w:ascii="Arial" w:eastAsia="Calibri" w:hAnsi="Arial" w:cs="Arial"/>
          <w:sz w:val="24"/>
          <w:szCs w:val="24"/>
          <w:lang w:eastAsia="en-US"/>
        </w:rPr>
        <w:t>für die Besoldungsgruppen A</w:t>
      </w:r>
      <w:r w:rsidR="00602895">
        <w:rPr>
          <w:rFonts w:ascii="Arial" w:eastAsia="Calibri" w:hAnsi="Arial" w:cs="Arial"/>
          <w:sz w:val="24"/>
          <w:szCs w:val="24"/>
          <w:lang w:eastAsia="en-US"/>
        </w:rPr>
        <w:t xml:space="preserve"> </w:t>
      </w:r>
      <w:r w:rsidR="005E74A7">
        <w:rPr>
          <w:rFonts w:ascii="Arial" w:eastAsia="Calibri" w:hAnsi="Arial" w:cs="Arial"/>
          <w:sz w:val="24"/>
          <w:szCs w:val="24"/>
          <w:lang w:eastAsia="en-US"/>
        </w:rPr>
        <w:t>4 bis A</w:t>
      </w:r>
      <w:r w:rsidR="00E95F66">
        <w:rPr>
          <w:rFonts w:ascii="Arial" w:eastAsia="Calibri" w:hAnsi="Arial" w:cs="Arial"/>
          <w:sz w:val="24"/>
          <w:szCs w:val="24"/>
          <w:lang w:eastAsia="en-US"/>
        </w:rPr>
        <w:t xml:space="preserve"> </w:t>
      </w:r>
      <w:r w:rsidR="005E74A7">
        <w:rPr>
          <w:rFonts w:ascii="Arial" w:eastAsia="Calibri" w:hAnsi="Arial" w:cs="Arial"/>
          <w:sz w:val="24"/>
          <w:szCs w:val="24"/>
          <w:lang w:eastAsia="en-US"/>
        </w:rPr>
        <w:t>9</w:t>
      </w:r>
      <w:r w:rsidR="00602895">
        <w:rPr>
          <w:rFonts w:ascii="Arial" w:eastAsia="Calibri" w:hAnsi="Arial" w:cs="Arial"/>
          <w:sz w:val="24"/>
          <w:szCs w:val="24"/>
          <w:lang w:eastAsia="en-US"/>
        </w:rPr>
        <w:t xml:space="preserve"> </w:t>
      </w:r>
      <w:r w:rsidR="001F7D47">
        <w:rPr>
          <w:rFonts w:ascii="Arial" w:eastAsia="Calibri" w:hAnsi="Arial" w:cs="Arial"/>
          <w:sz w:val="24"/>
          <w:szCs w:val="24"/>
          <w:lang w:eastAsia="en-US"/>
        </w:rPr>
        <w:t xml:space="preserve">auf </w:t>
      </w:r>
      <w:r w:rsidR="005E74A7">
        <w:rPr>
          <w:rFonts w:ascii="Arial" w:eastAsia="Calibri" w:hAnsi="Arial" w:cs="Arial"/>
          <w:sz w:val="24"/>
          <w:szCs w:val="24"/>
          <w:lang w:eastAsia="en-US"/>
        </w:rPr>
        <w:t>1.</w:t>
      </w:r>
      <w:r w:rsidR="001F7D47">
        <w:rPr>
          <w:rFonts w:ascii="Arial" w:eastAsia="Calibri" w:hAnsi="Arial" w:cs="Arial"/>
          <w:sz w:val="24"/>
          <w:szCs w:val="24"/>
          <w:lang w:eastAsia="en-US"/>
        </w:rPr>
        <w:t>550</w:t>
      </w:r>
      <w:r w:rsidR="005E74A7">
        <w:rPr>
          <w:rFonts w:ascii="Arial" w:eastAsia="Calibri" w:hAnsi="Arial" w:cs="Arial"/>
          <w:sz w:val="24"/>
          <w:szCs w:val="24"/>
          <w:lang w:eastAsia="en-US"/>
        </w:rPr>
        <w:t xml:space="preserve"> </w:t>
      </w:r>
      <w:r w:rsidR="00996C9D">
        <w:rPr>
          <w:rFonts w:ascii="Arial" w:eastAsia="Calibri" w:hAnsi="Arial" w:cs="Arial"/>
          <w:sz w:val="24"/>
          <w:szCs w:val="24"/>
          <w:lang w:eastAsia="en-US"/>
        </w:rPr>
        <w:t>€</w:t>
      </w:r>
      <w:r w:rsidR="005E74A7">
        <w:rPr>
          <w:rFonts w:ascii="Arial" w:eastAsia="Calibri" w:hAnsi="Arial" w:cs="Arial"/>
          <w:sz w:val="24"/>
          <w:szCs w:val="24"/>
          <w:lang w:eastAsia="en-US"/>
        </w:rPr>
        <w:t xml:space="preserve">, für die übrigen Besoldungsgruppen </w:t>
      </w:r>
      <w:r w:rsidR="001F7D47">
        <w:rPr>
          <w:rFonts w:ascii="Arial" w:eastAsia="Calibri" w:hAnsi="Arial" w:cs="Arial"/>
          <w:sz w:val="24"/>
          <w:szCs w:val="24"/>
          <w:lang w:eastAsia="en-US"/>
        </w:rPr>
        <w:t xml:space="preserve">auf </w:t>
      </w:r>
      <w:r w:rsidR="00010A93">
        <w:rPr>
          <w:rFonts w:ascii="Arial" w:eastAsia="Calibri" w:hAnsi="Arial" w:cs="Arial"/>
          <w:sz w:val="24"/>
          <w:szCs w:val="24"/>
          <w:lang w:eastAsia="en-US"/>
        </w:rPr>
        <w:t>900</w:t>
      </w:r>
      <w:r w:rsidR="00A02966">
        <w:rPr>
          <w:rFonts w:ascii="Arial" w:eastAsia="Calibri" w:hAnsi="Arial" w:cs="Arial"/>
          <w:sz w:val="24"/>
          <w:szCs w:val="24"/>
          <w:lang w:eastAsia="en-US"/>
        </w:rPr>
        <w:t xml:space="preserve"> </w:t>
      </w:r>
      <w:r w:rsidR="00996C9D">
        <w:rPr>
          <w:rFonts w:ascii="Arial" w:eastAsia="Calibri" w:hAnsi="Arial" w:cs="Arial"/>
          <w:sz w:val="24"/>
          <w:szCs w:val="24"/>
          <w:lang w:eastAsia="en-US"/>
        </w:rPr>
        <w:t>€</w:t>
      </w:r>
      <w:r w:rsidR="001F7D47">
        <w:rPr>
          <w:rFonts w:ascii="Arial" w:eastAsia="Calibri" w:hAnsi="Arial" w:cs="Arial"/>
          <w:sz w:val="24"/>
          <w:szCs w:val="24"/>
          <w:lang w:eastAsia="en-US"/>
        </w:rPr>
        <w:t xml:space="preserve"> angehoben</w:t>
      </w:r>
      <w:r w:rsidR="00A02966">
        <w:rPr>
          <w:rFonts w:ascii="Arial" w:eastAsia="Calibri" w:hAnsi="Arial" w:cs="Arial"/>
          <w:sz w:val="24"/>
          <w:szCs w:val="24"/>
          <w:lang w:eastAsia="en-US"/>
        </w:rPr>
        <w:t xml:space="preserve">. </w:t>
      </w:r>
      <w:r w:rsidR="0033259A" w:rsidRPr="00E51051">
        <w:rPr>
          <w:rFonts w:ascii="Arial" w:eastAsia="Calibri" w:hAnsi="Arial" w:cs="Arial"/>
          <w:color w:val="0070C0"/>
          <w:sz w:val="24"/>
          <w:szCs w:val="24"/>
          <w:lang w:eastAsia="en-US"/>
        </w:rPr>
        <w:t xml:space="preserve">Für </w:t>
      </w:r>
      <w:r w:rsidR="00250664" w:rsidRPr="00E51051">
        <w:rPr>
          <w:rFonts w:ascii="Arial" w:eastAsia="Calibri" w:hAnsi="Arial" w:cs="Arial"/>
          <w:color w:val="0070C0"/>
          <w:sz w:val="24"/>
          <w:szCs w:val="24"/>
          <w:lang w:eastAsia="en-US"/>
        </w:rPr>
        <w:t>Versorgungsempfänger</w:t>
      </w:r>
      <w:r w:rsidR="00714B0E" w:rsidRPr="00E51051">
        <w:rPr>
          <w:rFonts w:ascii="Arial" w:eastAsia="Calibri" w:hAnsi="Arial" w:cs="Arial"/>
          <w:color w:val="0070C0"/>
          <w:sz w:val="24"/>
          <w:szCs w:val="24"/>
          <w:lang w:eastAsia="en-US"/>
        </w:rPr>
        <w:t xml:space="preserve">, deren Versorgung sich aus den Besoldungsgruppen </w:t>
      </w:r>
      <w:r w:rsidR="00602895" w:rsidRPr="00E51051">
        <w:rPr>
          <w:rFonts w:ascii="Arial" w:eastAsia="Calibri" w:hAnsi="Arial" w:cs="Arial"/>
          <w:color w:val="0070C0"/>
          <w:sz w:val="24"/>
          <w:szCs w:val="24"/>
          <w:lang w:eastAsia="en-US"/>
        </w:rPr>
        <w:t xml:space="preserve">A 4 bis A 9 berechnet, </w:t>
      </w:r>
      <w:r w:rsidR="00D75BED" w:rsidRPr="00E51051">
        <w:rPr>
          <w:rFonts w:ascii="Arial" w:eastAsia="Calibri" w:hAnsi="Arial" w:cs="Arial"/>
          <w:color w:val="0070C0"/>
          <w:sz w:val="24"/>
          <w:szCs w:val="24"/>
          <w:lang w:eastAsia="en-US"/>
        </w:rPr>
        <w:t xml:space="preserve">betrug die Sonderzahlung 775 </w:t>
      </w:r>
      <w:r w:rsidR="00996C9D">
        <w:rPr>
          <w:rFonts w:ascii="Arial" w:eastAsia="Calibri" w:hAnsi="Arial" w:cs="Arial"/>
          <w:color w:val="0070C0"/>
          <w:sz w:val="24"/>
          <w:szCs w:val="24"/>
          <w:lang w:eastAsia="en-US"/>
        </w:rPr>
        <w:t>€</w:t>
      </w:r>
      <w:r w:rsidR="00EF35B3" w:rsidRPr="00E51051">
        <w:rPr>
          <w:rFonts w:ascii="Arial" w:eastAsia="Calibri" w:hAnsi="Arial" w:cs="Arial"/>
          <w:color w:val="0070C0"/>
          <w:sz w:val="24"/>
          <w:szCs w:val="24"/>
          <w:lang w:eastAsia="en-US"/>
        </w:rPr>
        <w:t xml:space="preserve">, für die übrigen Versorgungsempfänger </w:t>
      </w:r>
      <w:r w:rsidR="00A12A6B" w:rsidRPr="00E51051">
        <w:rPr>
          <w:rFonts w:ascii="Arial" w:eastAsia="Calibri" w:hAnsi="Arial" w:cs="Arial"/>
          <w:color w:val="0070C0"/>
          <w:sz w:val="24"/>
          <w:szCs w:val="24"/>
          <w:lang w:eastAsia="en-US"/>
        </w:rPr>
        <w:t xml:space="preserve">450 </w:t>
      </w:r>
      <w:r w:rsidR="00996C9D">
        <w:rPr>
          <w:rFonts w:ascii="Arial" w:eastAsia="Calibri" w:hAnsi="Arial" w:cs="Arial"/>
          <w:color w:val="0070C0"/>
          <w:sz w:val="24"/>
          <w:szCs w:val="24"/>
          <w:lang w:eastAsia="en-US"/>
        </w:rPr>
        <w:t>€</w:t>
      </w:r>
      <w:r w:rsidR="00A12A6B" w:rsidRPr="00E51051">
        <w:rPr>
          <w:rFonts w:ascii="Arial" w:eastAsia="Calibri" w:hAnsi="Arial" w:cs="Arial"/>
          <w:color w:val="0070C0"/>
          <w:sz w:val="24"/>
          <w:szCs w:val="24"/>
          <w:lang w:eastAsia="en-US"/>
        </w:rPr>
        <w:t xml:space="preserve">. </w:t>
      </w:r>
    </w:p>
    <w:p w14:paraId="7FA4B1EA" w14:textId="77777777" w:rsidR="00AD65D3" w:rsidRDefault="00AD65D3" w:rsidP="00503386">
      <w:pPr>
        <w:overflowPunct/>
        <w:spacing w:line="276" w:lineRule="auto"/>
        <w:jc w:val="both"/>
        <w:textAlignment w:val="auto"/>
        <w:rPr>
          <w:rFonts w:ascii="Arial" w:eastAsia="Calibri" w:hAnsi="Arial" w:cs="Arial"/>
          <w:sz w:val="24"/>
          <w:szCs w:val="24"/>
          <w:lang w:eastAsia="en-US"/>
        </w:rPr>
      </w:pPr>
    </w:p>
    <w:p w14:paraId="5F291373" w14:textId="162C3025" w:rsidR="00814C42" w:rsidRDefault="00D11D8E" w:rsidP="00503386">
      <w:pPr>
        <w:overflowPunct/>
        <w:spacing w:line="276" w:lineRule="auto"/>
        <w:jc w:val="both"/>
        <w:textAlignment w:val="auto"/>
        <w:rPr>
          <w:rFonts w:ascii="Arial" w:eastAsia="Calibri" w:hAnsi="Arial" w:cs="Arial"/>
          <w:sz w:val="24"/>
          <w:szCs w:val="24"/>
          <w:lang w:eastAsia="en-US"/>
        </w:rPr>
      </w:pPr>
      <w:r w:rsidRPr="008D17AB">
        <w:rPr>
          <w:rFonts w:ascii="Arial" w:eastAsia="Calibri" w:hAnsi="Arial" w:cs="Arial"/>
          <w:sz w:val="24"/>
          <w:szCs w:val="24"/>
          <w:lang w:eastAsia="en-US"/>
        </w:rPr>
        <w:t>dd</w:t>
      </w:r>
      <w:r w:rsidR="00814C42" w:rsidRPr="008D17AB">
        <w:rPr>
          <w:rFonts w:ascii="Arial" w:eastAsia="Calibri" w:hAnsi="Arial" w:cs="Arial"/>
          <w:sz w:val="24"/>
          <w:szCs w:val="24"/>
          <w:lang w:eastAsia="en-US"/>
        </w:rPr>
        <w:t>) Der Besoldungsindex wird aus der Multiplikation des Indexwertes des Vorjahres mit einem die Besoldungserhöhung abbildenden Faktor ermittelt.</w:t>
      </w:r>
      <w:r w:rsidR="00D73401" w:rsidRPr="008D17AB">
        <w:rPr>
          <w:rFonts w:ascii="Arial" w:eastAsia="Calibri" w:hAnsi="Arial" w:cs="Arial"/>
          <w:sz w:val="24"/>
          <w:szCs w:val="24"/>
          <w:lang w:eastAsia="en-US"/>
        </w:rPr>
        <w:t xml:space="preserve"> Die zwischenzeitlich </w:t>
      </w:r>
      <w:r w:rsidR="00E3421E" w:rsidRPr="008D17AB">
        <w:rPr>
          <w:rFonts w:ascii="Arial" w:eastAsia="Calibri" w:hAnsi="Arial" w:cs="Arial"/>
          <w:sz w:val="24"/>
          <w:szCs w:val="24"/>
          <w:lang w:eastAsia="en-US"/>
        </w:rPr>
        <w:t xml:space="preserve">auf Grundlage des Gesetzes über die rückwirkende Herstellung verfassungskonformer Regelungen </w:t>
      </w:r>
      <w:r w:rsidR="00E3421E" w:rsidRPr="008D17AB">
        <w:rPr>
          <w:rFonts w:ascii="Arial" w:eastAsia="Calibri" w:hAnsi="Arial" w:cs="Arial"/>
          <w:sz w:val="24"/>
          <w:szCs w:val="24"/>
          <w:lang w:eastAsia="en-US"/>
        </w:rPr>
        <w:lastRenderedPageBreak/>
        <w:t xml:space="preserve">hinsichtlich der Besoldung in den Besoldungsgruppen R 1 und R 2 in den Jahren 2009 bis 2015 und der Besoldungsgruppe R 3 im Jahr 2015 (RBes2009/15RepG) </w:t>
      </w:r>
      <w:r w:rsidR="00D73401" w:rsidRPr="008D17AB">
        <w:rPr>
          <w:rFonts w:ascii="Arial" w:eastAsia="Calibri" w:hAnsi="Arial" w:cs="Arial"/>
          <w:sz w:val="24"/>
          <w:szCs w:val="24"/>
          <w:lang w:eastAsia="en-US"/>
        </w:rPr>
        <w:t xml:space="preserve">für die Jahre 2009 bis 2015 erfolgten Nachzahlungen </w:t>
      </w:r>
      <w:r w:rsidR="00C0579A" w:rsidRPr="008D17AB">
        <w:rPr>
          <w:rFonts w:ascii="Arial" w:eastAsia="Calibri" w:hAnsi="Arial" w:cs="Arial"/>
          <w:sz w:val="24"/>
          <w:szCs w:val="24"/>
          <w:lang w:eastAsia="en-US"/>
        </w:rPr>
        <w:t xml:space="preserve">sind </w:t>
      </w:r>
      <w:r w:rsidR="00D73401" w:rsidRPr="008D17AB">
        <w:rPr>
          <w:rFonts w:ascii="Arial" w:eastAsia="Calibri" w:hAnsi="Arial" w:cs="Arial"/>
          <w:sz w:val="24"/>
          <w:szCs w:val="24"/>
          <w:lang w:eastAsia="en-US"/>
        </w:rPr>
        <w:t xml:space="preserve">nicht </w:t>
      </w:r>
      <w:r w:rsidR="00C0579A" w:rsidRPr="008D17AB">
        <w:rPr>
          <w:rFonts w:ascii="Arial" w:eastAsia="Calibri" w:hAnsi="Arial" w:cs="Arial"/>
          <w:sz w:val="24"/>
          <w:szCs w:val="24"/>
          <w:lang w:eastAsia="en-US"/>
        </w:rPr>
        <w:t xml:space="preserve">zu </w:t>
      </w:r>
      <w:r w:rsidR="00D73401" w:rsidRPr="008D17AB">
        <w:rPr>
          <w:rFonts w:ascii="Arial" w:eastAsia="Calibri" w:hAnsi="Arial" w:cs="Arial"/>
          <w:sz w:val="24"/>
          <w:szCs w:val="24"/>
          <w:lang w:eastAsia="en-US"/>
        </w:rPr>
        <w:t>berücksichtig</w:t>
      </w:r>
      <w:r w:rsidR="00C0579A" w:rsidRPr="008D17AB">
        <w:rPr>
          <w:rFonts w:ascii="Arial" w:eastAsia="Calibri" w:hAnsi="Arial" w:cs="Arial"/>
          <w:sz w:val="24"/>
          <w:szCs w:val="24"/>
          <w:lang w:eastAsia="en-US"/>
        </w:rPr>
        <w:t>en</w:t>
      </w:r>
      <w:r w:rsidR="00D73401" w:rsidRPr="008D17AB">
        <w:rPr>
          <w:rFonts w:ascii="Arial" w:eastAsia="Calibri" w:hAnsi="Arial" w:cs="Arial"/>
          <w:sz w:val="24"/>
          <w:szCs w:val="24"/>
          <w:lang w:eastAsia="en-US"/>
        </w:rPr>
        <w:t xml:space="preserve">, da sie für </w:t>
      </w:r>
      <w:r w:rsidR="00BB0834" w:rsidRPr="008D17AB">
        <w:rPr>
          <w:rFonts w:ascii="Arial" w:eastAsia="Calibri" w:hAnsi="Arial" w:cs="Arial"/>
          <w:sz w:val="24"/>
          <w:szCs w:val="24"/>
          <w:lang w:eastAsia="en-US"/>
        </w:rPr>
        <w:t>die Bestimmung des Besoldungsindex im</w:t>
      </w:r>
      <w:r w:rsidR="00D73401" w:rsidRPr="008D17AB">
        <w:rPr>
          <w:rFonts w:ascii="Arial" w:eastAsia="Calibri" w:hAnsi="Arial" w:cs="Arial"/>
          <w:sz w:val="24"/>
          <w:szCs w:val="24"/>
          <w:lang w:eastAsia="en-US"/>
        </w:rPr>
        <w:t xml:space="preserve"> streitgegenständlichen Zeitraum ohne Bedeutung sind.</w:t>
      </w:r>
      <w:r w:rsidR="00BB0834" w:rsidRPr="008D17AB">
        <w:rPr>
          <w:rFonts w:ascii="Arial" w:eastAsia="Calibri" w:hAnsi="Arial" w:cs="Arial"/>
          <w:sz w:val="24"/>
          <w:szCs w:val="24"/>
          <w:lang w:eastAsia="en-US"/>
        </w:rPr>
        <w:t xml:space="preserve"> </w:t>
      </w:r>
      <w:r w:rsidR="00663730">
        <w:rPr>
          <w:rFonts w:ascii="Arial" w:eastAsia="Calibri" w:hAnsi="Arial" w:cs="Arial"/>
          <w:sz w:val="24"/>
          <w:szCs w:val="24"/>
          <w:lang w:eastAsia="en-US"/>
        </w:rPr>
        <w:t xml:space="preserve">Die ab 2016 </w:t>
      </w:r>
      <w:r w:rsidR="00DF6E70">
        <w:rPr>
          <w:rFonts w:ascii="Arial" w:eastAsia="Calibri" w:hAnsi="Arial" w:cs="Arial"/>
          <w:sz w:val="24"/>
          <w:szCs w:val="24"/>
          <w:lang w:eastAsia="en-US"/>
        </w:rPr>
        <w:t>vorgenommenen</w:t>
      </w:r>
      <w:r w:rsidR="00663730">
        <w:rPr>
          <w:rFonts w:ascii="Arial" w:eastAsia="Calibri" w:hAnsi="Arial" w:cs="Arial"/>
          <w:sz w:val="24"/>
          <w:szCs w:val="24"/>
          <w:lang w:eastAsia="en-US"/>
        </w:rPr>
        <w:t xml:space="preserve"> Erhöhungen</w:t>
      </w:r>
      <w:r w:rsidR="00DF6E70">
        <w:rPr>
          <w:rFonts w:ascii="Arial" w:eastAsia="Calibri" w:hAnsi="Arial" w:cs="Arial"/>
          <w:sz w:val="24"/>
          <w:szCs w:val="24"/>
          <w:lang w:eastAsia="en-US"/>
        </w:rPr>
        <w:t xml:space="preserve"> </w:t>
      </w:r>
      <w:r w:rsidR="00B30E5E" w:rsidRPr="008D17AB">
        <w:rPr>
          <w:rFonts w:ascii="Arial" w:eastAsia="Calibri" w:hAnsi="Arial" w:cs="Arial"/>
          <w:sz w:val="24"/>
          <w:szCs w:val="24"/>
          <w:lang w:eastAsia="en-US"/>
        </w:rPr>
        <w:t xml:space="preserve">setzen </w:t>
      </w:r>
      <w:r w:rsidR="00160DF3">
        <w:rPr>
          <w:rFonts w:ascii="Arial" w:eastAsia="Calibri" w:hAnsi="Arial" w:cs="Arial"/>
          <w:sz w:val="24"/>
          <w:szCs w:val="24"/>
          <w:lang w:eastAsia="en-US"/>
        </w:rPr>
        <w:t xml:space="preserve">jeweils </w:t>
      </w:r>
      <w:r w:rsidR="00B30E5E" w:rsidRPr="008D17AB">
        <w:rPr>
          <w:rFonts w:ascii="Arial" w:eastAsia="Calibri" w:hAnsi="Arial" w:cs="Arial"/>
          <w:sz w:val="24"/>
          <w:szCs w:val="24"/>
          <w:lang w:eastAsia="en-US"/>
        </w:rPr>
        <w:t>auf den historischen</w:t>
      </w:r>
      <w:r w:rsidR="00160DF3">
        <w:rPr>
          <w:rFonts w:ascii="Arial" w:eastAsia="Calibri" w:hAnsi="Arial" w:cs="Arial"/>
          <w:sz w:val="24"/>
          <w:szCs w:val="24"/>
          <w:lang w:eastAsia="en-US"/>
        </w:rPr>
        <w:t>, nicht „reparierten“</w:t>
      </w:r>
      <w:r w:rsidR="00B30E5E" w:rsidRPr="008D17AB">
        <w:rPr>
          <w:rFonts w:ascii="Arial" w:eastAsia="Calibri" w:hAnsi="Arial" w:cs="Arial"/>
          <w:sz w:val="24"/>
          <w:szCs w:val="24"/>
          <w:lang w:eastAsia="en-US"/>
        </w:rPr>
        <w:t xml:space="preserve"> Tabellenwerten auf.</w:t>
      </w:r>
      <w:r w:rsidR="00BB0834" w:rsidRPr="008D17AB">
        <w:rPr>
          <w:rFonts w:ascii="Arial" w:eastAsia="Calibri" w:hAnsi="Arial" w:cs="Arial"/>
          <w:sz w:val="24"/>
          <w:szCs w:val="24"/>
          <w:lang w:eastAsia="en-US"/>
        </w:rPr>
        <w:t xml:space="preserve"> </w:t>
      </w:r>
    </w:p>
    <w:p w14:paraId="46606258" w14:textId="2E8BF816" w:rsidR="00452100" w:rsidRDefault="00452100" w:rsidP="00503386">
      <w:pPr>
        <w:overflowPunct/>
        <w:spacing w:line="276" w:lineRule="auto"/>
        <w:jc w:val="both"/>
        <w:textAlignment w:val="auto"/>
        <w:rPr>
          <w:rFonts w:ascii="Arial" w:eastAsia="Calibri" w:hAnsi="Arial" w:cs="Arial"/>
          <w:sz w:val="24"/>
          <w:szCs w:val="24"/>
          <w:lang w:eastAsia="en-US"/>
        </w:rPr>
      </w:pPr>
    </w:p>
    <w:p w14:paraId="3E658455" w14:textId="47A5186B" w:rsidR="00814C42" w:rsidRPr="00CC59E0" w:rsidRDefault="00814C42" w:rsidP="00503386">
      <w:pPr>
        <w:overflowPunct/>
        <w:spacing w:line="276" w:lineRule="auto"/>
        <w:jc w:val="both"/>
        <w:textAlignment w:val="auto"/>
        <w:rPr>
          <w:rFonts w:ascii="Arial" w:eastAsia="Calibri" w:hAnsi="Arial" w:cs="Arial"/>
          <w:i/>
          <w:iCs/>
          <w:sz w:val="24"/>
          <w:szCs w:val="24"/>
          <w:lang w:eastAsia="en-US"/>
        </w:rPr>
      </w:pPr>
      <w:bookmarkStart w:id="12" w:name="_Hlk88039496"/>
      <w:r w:rsidRPr="00814C42">
        <w:rPr>
          <w:rFonts w:ascii="Arial" w:eastAsia="Calibri" w:hAnsi="Arial" w:cs="Arial"/>
          <w:sz w:val="24"/>
          <w:szCs w:val="24"/>
          <w:lang w:eastAsia="en-US"/>
        </w:rPr>
        <w:t xml:space="preserve">(1) </w:t>
      </w:r>
      <w:r w:rsidR="008F0412">
        <w:rPr>
          <w:rFonts w:ascii="Arial" w:eastAsia="Calibri" w:hAnsi="Arial" w:cs="Arial"/>
          <w:sz w:val="24"/>
          <w:szCs w:val="24"/>
          <w:lang w:eastAsia="en-US"/>
        </w:rPr>
        <w:t>Im Zeitraum 2001 bis 2016 stieg die Besoldung der Besoldungsgruppe R</w:t>
      </w:r>
      <w:r w:rsidR="008B55A1">
        <w:rPr>
          <w:rFonts w:ascii="Arial" w:eastAsia="Calibri" w:hAnsi="Arial" w:cs="Arial"/>
          <w:sz w:val="24"/>
          <w:szCs w:val="24"/>
          <w:lang w:eastAsia="en-US"/>
        </w:rPr>
        <w:t xml:space="preserve"> </w:t>
      </w:r>
      <w:r w:rsidR="008F0412">
        <w:rPr>
          <w:rFonts w:ascii="Arial" w:eastAsia="Calibri" w:hAnsi="Arial" w:cs="Arial"/>
          <w:sz w:val="24"/>
          <w:szCs w:val="24"/>
          <w:lang w:eastAsia="en-US"/>
        </w:rPr>
        <w:t xml:space="preserve">1 um </w:t>
      </w:r>
      <w:r w:rsidR="00683049">
        <w:rPr>
          <w:rFonts w:ascii="Arial" w:eastAsia="Calibri" w:hAnsi="Arial" w:cs="Arial"/>
          <w:sz w:val="24"/>
          <w:szCs w:val="24"/>
          <w:lang w:eastAsia="en-US"/>
        </w:rPr>
        <w:t>18,8</w:t>
      </w:r>
      <w:r w:rsidR="002F6D27">
        <w:rPr>
          <w:rFonts w:ascii="Arial" w:eastAsia="Calibri" w:hAnsi="Arial" w:cs="Arial"/>
          <w:sz w:val="24"/>
          <w:szCs w:val="24"/>
          <w:lang w:eastAsia="en-US"/>
        </w:rPr>
        <w:t>2</w:t>
      </w:r>
      <w:r w:rsidR="008F0412">
        <w:rPr>
          <w:rFonts w:ascii="Arial" w:eastAsia="Calibri" w:hAnsi="Arial" w:cs="Arial"/>
          <w:sz w:val="24"/>
          <w:szCs w:val="24"/>
          <w:lang w:eastAsia="en-US"/>
        </w:rPr>
        <w:t xml:space="preserve"> % und </w:t>
      </w:r>
      <w:r w:rsidR="008F0412" w:rsidRPr="00CC59E0">
        <w:rPr>
          <w:rFonts w:ascii="Arial" w:eastAsia="Calibri" w:hAnsi="Arial" w:cs="Arial"/>
          <w:sz w:val="24"/>
          <w:szCs w:val="24"/>
          <w:lang w:eastAsia="en-US"/>
        </w:rPr>
        <w:t xml:space="preserve">diejenige der Besoldungsgruppe R 2 </w:t>
      </w:r>
      <w:r w:rsidR="00CC59E0" w:rsidRPr="00CC59E0">
        <w:rPr>
          <w:rFonts w:ascii="Arial" w:eastAsia="Calibri" w:hAnsi="Arial" w:cs="Arial"/>
          <w:sz w:val="24"/>
          <w:szCs w:val="24"/>
          <w:lang w:eastAsia="en-US"/>
        </w:rPr>
        <w:t>um 18,</w:t>
      </w:r>
      <w:r w:rsidR="005855E3">
        <w:rPr>
          <w:rFonts w:ascii="Arial" w:eastAsia="Calibri" w:hAnsi="Arial" w:cs="Arial"/>
          <w:sz w:val="24"/>
          <w:szCs w:val="24"/>
          <w:lang w:eastAsia="en-US"/>
        </w:rPr>
        <w:t>6</w:t>
      </w:r>
      <w:r w:rsidR="00B260F7">
        <w:rPr>
          <w:rFonts w:ascii="Arial" w:eastAsia="Calibri" w:hAnsi="Arial" w:cs="Arial"/>
          <w:sz w:val="24"/>
          <w:szCs w:val="24"/>
          <w:lang w:eastAsia="en-US"/>
        </w:rPr>
        <w:t>8</w:t>
      </w:r>
      <w:r w:rsidR="00CC59E0" w:rsidRPr="00CC59E0">
        <w:rPr>
          <w:rFonts w:ascii="Arial" w:eastAsia="Calibri" w:hAnsi="Arial" w:cs="Arial"/>
          <w:sz w:val="24"/>
          <w:szCs w:val="24"/>
          <w:lang w:eastAsia="en-US"/>
        </w:rPr>
        <w:t xml:space="preserve"> %</w:t>
      </w:r>
    </w:p>
    <w:bookmarkEnd w:id="12"/>
    <w:p w14:paraId="04F82BDB" w14:textId="0C1AF2FF" w:rsidR="00683049" w:rsidRDefault="00683049" w:rsidP="00503386">
      <w:pPr>
        <w:overflowPunct/>
        <w:autoSpaceDE/>
        <w:autoSpaceDN/>
        <w:adjustRightInd/>
        <w:spacing w:line="276" w:lineRule="auto"/>
        <w:ind w:left="2124"/>
        <w:jc w:val="both"/>
        <w:textAlignment w:val="auto"/>
        <w:rPr>
          <w:rFonts w:ascii="Arial" w:eastAsia="Calibri" w:hAnsi="Arial" w:cs="Arial"/>
          <w:sz w:val="24"/>
          <w:szCs w:val="24"/>
          <w:lang w:eastAsia="en-US"/>
        </w:rPr>
      </w:pPr>
    </w:p>
    <w:tbl>
      <w:tblPr>
        <w:tblW w:w="6420" w:type="dxa"/>
        <w:tblInd w:w="801" w:type="dxa"/>
        <w:tblCellMar>
          <w:left w:w="70" w:type="dxa"/>
          <w:right w:w="70" w:type="dxa"/>
        </w:tblCellMar>
        <w:tblLook w:val="04A0" w:firstRow="1" w:lastRow="0" w:firstColumn="1" w:lastColumn="0" w:noHBand="0" w:noVBand="1"/>
      </w:tblPr>
      <w:tblGrid>
        <w:gridCol w:w="1240"/>
        <w:gridCol w:w="1352"/>
        <w:gridCol w:w="1238"/>
        <w:gridCol w:w="1352"/>
        <w:gridCol w:w="1238"/>
      </w:tblGrid>
      <w:tr w:rsidR="007529B0" w:rsidRPr="007529B0" w14:paraId="7A6F5B3F" w14:textId="77777777" w:rsidTr="007529B0">
        <w:trPr>
          <w:trHeight w:val="288"/>
        </w:trPr>
        <w:tc>
          <w:tcPr>
            <w:tcW w:w="124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6459C256"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 </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62814E75" w14:textId="77777777" w:rsidR="007529B0" w:rsidRPr="007529B0" w:rsidRDefault="007529B0" w:rsidP="007529B0">
            <w:pPr>
              <w:overflowPunct/>
              <w:autoSpaceDE/>
              <w:autoSpaceDN/>
              <w:adjustRightInd/>
              <w:textAlignment w:val="auto"/>
              <w:rPr>
                <w:rFonts w:ascii="Arial" w:hAnsi="Arial" w:cs="Arial"/>
                <w:b/>
                <w:bCs/>
                <w:color w:val="000000"/>
              </w:rPr>
            </w:pPr>
            <w:r w:rsidRPr="007529B0">
              <w:rPr>
                <w:rFonts w:ascii="Arial" w:hAnsi="Arial" w:cs="Arial"/>
                <w:b/>
                <w:bCs/>
                <w:color w:val="000000"/>
              </w:rPr>
              <w:t>Besoldungsgruppe R1</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15ABC9F4" w14:textId="77777777" w:rsidR="007529B0" w:rsidRPr="007529B0" w:rsidRDefault="007529B0" w:rsidP="007529B0">
            <w:pPr>
              <w:overflowPunct/>
              <w:autoSpaceDE/>
              <w:autoSpaceDN/>
              <w:adjustRightInd/>
              <w:textAlignment w:val="auto"/>
              <w:rPr>
                <w:rFonts w:ascii="Arial" w:hAnsi="Arial" w:cs="Arial"/>
                <w:b/>
                <w:bCs/>
                <w:color w:val="000000"/>
              </w:rPr>
            </w:pPr>
            <w:r w:rsidRPr="007529B0">
              <w:rPr>
                <w:rFonts w:ascii="Arial" w:hAnsi="Arial" w:cs="Arial"/>
                <w:b/>
                <w:bCs/>
                <w:color w:val="000000"/>
              </w:rPr>
              <w:t>Besoldungsgruppe R2</w:t>
            </w:r>
          </w:p>
        </w:tc>
      </w:tr>
      <w:tr w:rsidR="007529B0" w:rsidRPr="007529B0" w14:paraId="4DBFA9DA" w14:textId="77777777" w:rsidTr="007529B0">
        <w:trPr>
          <w:trHeight w:val="540"/>
        </w:trPr>
        <w:tc>
          <w:tcPr>
            <w:tcW w:w="1240" w:type="dxa"/>
            <w:tcBorders>
              <w:top w:val="nil"/>
              <w:left w:val="double" w:sz="6" w:space="0" w:color="auto"/>
              <w:bottom w:val="double" w:sz="6" w:space="0" w:color="auto"/>
              <w:right w:val="double" w:sz="6" w:space="0" w:color="auto"/>
            </w:tcBorders>
            <w:shd w:val="clear" w:color="auto" w:fill="auto"/>
            <w:noWrap/>
            <w:vAlign w:val="center"/>
            <w:hideMark/>
          </w:tcPr>
          <w:p w14:paraId="1D0C7647" w14:textId="77777777" w:rsidR="007529B0" w:rsidRPr="007529B0" w:rsidRDefault="007529B0" w:rsidP="007529B0">
            <w:pPr>
              <w:overflowPunct/>
              <w:autoSpaceDE/>
              <w:autoSpaceDN/>
              <w:adjustRightInd/>
              <w:jc w:val="center"/>
              <w:textAlignment w:val="auto"/>
              <w:rPr>
                <w:rFonts w:ascii="Arial" w:hAnsi="Arial" w:cs="Arial"/>
                <w:b/>
                <w:bCs/>
                <w:color w:val="000000"/>
              </w:rPr>
            </w:pPr>
            <w:r w:rsidRPr="007529B0">
              <w:rPr>
                <w:rFonts w:ascii="Arial" w:hAnsi="Arial" w:cs="Arial"/>
                <w:b/>
                <w:bCs/>
                <w:color w:val="000000"/>
              </w:rPr>
              <w:t> </w:t>
            </w:r>
          </w:p>
        </w:tc>
        <w:tc>
          <w:tcPr>
            <w:tcW w:w="1352" w:type="dxa"/>
            <w:tcBorders>
              <w:top w:val="nil"/>
              <w:left w:val="nil"/>
              <w:bottom w:val="double" w:sz="6" w:space="0" w:color="auto"/>
              <w:right w:val="single" w:sz="4" w:space="0" w:color="auto"/>
            </w:tcBorders>
            <w:shd w:val="clear" w:color="auto" w:fill="auto"/>
            <w:vAlign w:val="center"/>
            <w:hideMark/>
          </w:tcPr>
          <w:p w14:paraId="022234F9" w14:textId="77777777" w:rsidR="007529B0" w:rsidRPr="007529B0" w:rsidRDefault="007529B0" w:rsidP="007529B0">
            <w:pPr>
              <w:overflowPunct/>
              <w:autoSpaceDE/>
              <w:autoSpaceDN/>
              <w:adjustRightInd/>
              <w:jc w:val="center"/>
              <w:textAlignment w:val="auto"/>
              <w:rPr>
                <w:rFonts w:ascii="Arial" w:hAnsi="Arial" w:cs="Arial"/>
                <w:b/>
                <w:bCs/>
                <w:color w:val="000000"/>
              </w:rPr>
            </w:pPr>
            <w:r w:rsidRPr="007529B0">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7556EA41" w14:textId="77777777" w:rsidR="007529B0" w:rsidRPr="007529B0" w:rsidRDefault="007529B0" w:rsidP="007529B0">
            <w:pPr>
              <w:overflowPunct/>
              <w:autoSpaceDE/>
              <w:autoSpaceDN/>
              <w:adjustRightInd/>
              <w:jc w:val="center"/>
              <w:textAlignment w:val="auto"/>
              <w:rPr>
                <w:rFonts w:ascii="Arial" w:hAnsi="Arial" w:cs="Arial"/>
                <w:b/>
                <w:bCs/>
                <w:color w:val="000000"/>
              </w:rPr>
            </w:pPr>
            <w:r w:rsidRPr="007529B0">
              <w:rPr>
                <w:rFonts w:ascii="Arial" w:hAnsi="Arial" w:cs="Arial"/>
                <w:b/>
                <w:bCs/>
                <w:color w:val="000000"/>
              </w:rPr>
              <w:t>Index</w:t>
            </w:r>
          </w:p>
        </w:tc>
        <w:tc>
          <w:tcPr>
            <w:tcW w:w="1352" w:type="dxa"/>
            <w:tcBorders>
              <w:top w:val="nil"/>
              <w:left w:val="nil"/>
              <w:bottom w:val="double" w:sz="6" w:space="0" w:color="auto"/>
              <w:right w:val="single" w:sz="4" w:space="0" w:color="auto"/>
            </w:tcBorders>
            <w:shd w:val="clear" w:color="auto" w:fill="auto"/>
            <w:vAlign w:val="center"/>
            <w:hideMark/>
          </w:tcPr>
          <w:p w14:paraId="2265A97E" w14:textId="77777777" w:rsidR="007529B0" w:rsidRPr="007529B0" w:rsidRDefault="007529B0" w:rsidP="007529B0">
            <w:pPr>
              <w:overflowPunct/>
              <w:autoSpaceDE/>
              <w:autoSpaceDN/>
              <w:adjustRightInd/>
              <w:jc w:val="center"/>
              <w:textAlignment w:val="auto"/>
              <w:rPr>
                <w:rFonts w:ascii="Arial" w:hAnsi="Arial" w:cs="Arial"/>
                <w:b/>
                <w:bCs/>
                <w:color w:val="000000"/>
              </w:rPr>
            </w:pPr>
            <w:r w:rsidRPr="007529B0">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31240424" w14:textId="77777777" w:rsidR="007529B0" w:rsidRPr="007529B0" w:rsidRDefault="007529B0" w:rsidP="007529B0">
            <w:pPr>
              <w:overflowPunct/>
              <w:autoSpaceDE/>
              <w:autoSpaceDN/>
              <w:adjustRightInd/>
              <w:jc w:val="center"/>
              <w:textAlignment w:val="auto"/>
              <w:rPr>
                <w:rFonts w:ascii="Arial" w:hAnsi="Arial" w:cs="Arial"/>
                <w:b/>
                <w:bCs/>
                <w:color w:val="000000"/>
              </w:rPr>
            </w:pPr>
            <w:r w:rsidRPr="007529B0">
              <w:rPr>
                <w:rFonts w:ascii="Arial" w:hAnsi="Arial" w:cs="Arial"/>
                <w:b/>
                <w:bCs/>
                <w:color w:val="000000"/>
              </w:rPr>
              <w:t>Index</w:t>
            </w:r>
          </w:p>
        </w:tc>
      </w:tr>
      <w:tr w:rsidR="007529B0" w:rsidRPr="007529B0" w14:paraId="10329E95" w14:textId="77777777" w:rsidTr="007529B0">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4CE3E2B1"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2001</w:t>
            </w:r>
          </w:p>
        </w:tc>
        <w:tc>
          <w:tcPr>
            <w:tcW w:w="1352" w:type="dxa"/>
            <w:tcBorders>
              <w:top w:val="nil"/>
              <w:left w:val="nil"/>
              <w:bottom w:val="nil"/>
              <w:right w:val="single" w:sz="4" w:space="0" w:color="auto"/>
            </w:tcBorders>
            <w:shd w:val="clear" w:color="auto" w:fill="auto"/>
            <w:noWrap/>
            <w:vAlign w:val="bottom"/>
            <w:hideMark/>
          </w:tcPr>
          <w:p w14:paraId="5D7C799D" w14:textId="77777777" w:rsidR="007529B0" w:rsidRPr="007529B0" w:rsidRDefault="007529B0" w:rsidP="007529B0">
            <w:pPr>
              <w:overflowPunct/>
              <w:autoSpaceDE/>
              <w:autoSpaceDN/>
              <w:adjustRightInd/>
              <w:textAlignment w:val="auto"/>
              <w:rPr>
                <w:rFonts w:ascii="Arial" w:hAnsi="Arial" w:cs="Arial"/>
                <w:color w:val="000000"/>
              </w:rPr>
            </w:pPr>
            <w:r w:rsidRPr="007529B0">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0B5269A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73AC21E7" w14:textId="77777777" w:rsidR="007529B0" w:rsidRPr="007529B0" w:rsidRDefault="007529B0" w:rsidP="007529B0">
            <w:pPr>
              <w:overflowPunct/>
              <w:autoSpaceDE/>
              <w:autoSpaceDN/>
              <w:adjustRightInd/>
              <w:textAlignment w:val="auto"/>
              <w:rPr>
                <w:rFonts w:ascii="Arial" w:hAnsi="Arial" w:cs="Arial"/>
                <w:color w:val="000000"/>
              </w:rPr>
            </w:pPr>
            <w:r w:rsidRPr="007529B0">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2D9D8CE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100,00</w:t>
            </w:r>
          </w:p>
        </w:tc>
      </w:tr>
      <w:tr w:rsidR="007529B0" w:rsidRPr="007529B0" w14:paraId="25E8CEDE"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0FA83DD"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2002</w:t>
            </w:r>
          </w:p>
        </w:tc>
        <w:tc>
          <w:tcPr>
            <w:tcW w:w="1352" w:type="dxa"/>
            <w:tcBorders>
              <w:top w:val="nil"/>
              <w:left w:val="nil"/>
              <w:bottom w:val="nil"/>
              <w:right w:val="single" w:sz="4" w:space="0" w:color="auto"/>
            </w:tcBorders>
            <w:shd w:val="clear" w:color="auto" w:fill="auto"/>
            <w:noWrap/>
            <w:vAlign w:val="bottom"/>
            <w:hideMark/>
          </w:tcPr>
          <w:p w14:paraId="25A15E9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2,20</w:t>
            </w:r>
          </w:p>
        </w:tc>
        <w:tc>
          <w:tcPr>
            <w:tcW w:w="1238" w:type="dxa"/>
            <w:tcBorders>
              <w:top w:val="nil"/>
              <w:left w:val="nil"/>
              <w:bottom w:val="nil"/>
              <w:right w:val="double" w:sz="6" w:space="0" w:color="auto"/>
            </w:tcBorders>
            <w:shd w:val="clear" w:color="auto" w:fill="auto"/>
            <w:noWrap/>
            <w:vAlign w:val="bottom"/>
            <w:hideMark/>
          </w:tcPr>
          <w:p w14:paraId="3AB5E41A"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102,20</w:t>
            </w:r>
          </w:p>
        </w:tc>
        <w:tc>
          <w:tcPr>
            <w:tcW w:w="1352" w:type="dxa"/>
            <w:tcBorders>
              <w:top w:val="nil"/>
              <w:left w:val="nil"/>
              <w:bottom w:val="nil"/>
              <w:right w:val="single" w:sz="4" w:space="0" w:color="auto"/>
            </w:tcBorders>
            <w:shd w:val="clear" w:color="auto" w:fill="auto"/>
            <w:noWrap/>
            <w:vAlign w:val="bottom"/>
            <w:hideMark/>
          </w:tcPr>
          <w:p w14:paraId="6EFC8F5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2,20</w:t>
            </w:r>
          </w:p>
        </w:tc>
        <w:tc>
          <w:tcPr>
            <w:tcW w:w="1238" w:type="dxa"/>
            <w:tcBorders>
              <w:top w:val="nil"/>
              <w:left w:val="nil"/>
              <w:bottom w:val="nil"/>
              <w:right w:val="double" w:sz="6" w:space="0" w:color="auto"/>
            </w:tcBorders>
            <w:shd w:val="clear" w:color="auto" w:fill="auto"/>
            <w:noWrap/>
            <w:vAlign w:val="bottom"/>
            <w:hideMark/>
          </w:tcPr>
          <w:p w14:paraId="6A144004"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102,20</w:t>
            </w:r>
          </w:p>
        </w:tc>
      </w:tr>
      <w:tr w:rsidR="007529B0" w:rsidRPr="007529B0" w14:paraId="4C51039D"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F54E653"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2003</w:t>
            </w:r>
          </w:p>
        </w:tc>
        <w:tc>
          <w:tcPr>
            <w:tcW w:w="1352" w:type="dxa"/>
            <w:tcBorders>
              <w:top w:val="nil"/>
              <w:left w:val="nil"/>
              <w:bottom w:val="nil"/>
              <w:right w:val="single" w:sz="4" w:space="0" w:color="auto"/>
            </w:tcBorders>
            <w:shd w:val="clear" w:color="auto" w:fill="auto"/>
            <w:noWrap/>
            <w:vAlign w:val="bottom"/>
            <w:hideMark/>
          </w:tcPr>
          <w:p w14:paraId="2714E98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2,40</w:t>
            </w:r>
          </w:p>
        </w:tc>
        <w:tc>
          <w:tcPr>
            <w:tcW w:w="1238" w:type="dxa"/>
            <w:tcBorders>
              <w:top w:val="nil"/>
              <w:left w:val="nil"/>
              <w:bottom w:val="nil"/>
              <w:right w:val="double" w:sz="6" w:space="0" w:color="auto"/>
            </w:tcBorders>
            <w:shd w:val="clear" w:color="auto" w:fill="auto"/>
            <w:noWrap/>
            <w:vAlign w:val="bottom"/>
            <w:hideMark/>
          </w:tcPr>
          <w:p w14:paraId="684F9EC1"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104,65</w:t>
            </w:r>
          </w:p>
        </w:tc>
        <w:tc>
          <w:tcPr>
            <w:tcW w:w="1352" w:type="dxa"/>
            <w:tcBorders>
              <w:top w:val="nil"/>
              <w:left w:val="nil"/>
              <w:bottom w:val="nil"/>
              <w:right w:val="single" w:sz="4" w:space="0" w:color="auto"/>
            </w:tcBorders>
            <w:shd w:val="clear" w:color="auto" w:fill="auto"/>
            <w:noWrap/>
            <w:vAlign w:val="bottom"/>
            <w:hideMark/>
          </w:tcPr>
          <w:p w14:paraId="518A539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2,40</w:t>
            </w:r>
          </w:p>
        </w:tc>
        <w:tc>
          <w:tcPr>
            <w:tcW w:w="1238" w:type="dxa"/>
            <w:tcBorders>
              <w:top w:val="nil"/>
              <w:left w:val="nil"/>
              <w:bottom w:val="nil"/>
              <w:right w:val="double" w:sz="6" w:space="0" w:color="auto"/>
            </w:tcBorders>
            <w:shd w:val="clear" w:color="auto" w:fill="auto"/>
            <w:noWrap/>
            <w:vAlign w:val="bottom"/>
            <w:hideMark/>
          </w:tcPr>
          <w:p w14:paraId="42B59CE6"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104,65</w:t>
            </w:r>
          </w:p>
        </w:tc>
      </w:tr>
      <w:tr w:rsidR="007529B0" w:rsidRPr="007529B0" w14:paraId="76D123EE"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B0472A1"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54AE671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-5,56</w:t>
            </w:r>
          </w:p>
        </w:tc>
        <w:tc>
          <w:tcPr>
            <w:tcW w:w="1238" w:type="dxa"/>
            <w:tcBorders>
              <w:top w:val="nil"/>
              <w:left w:val="nil"/>
              <w:bottom w:val="nil"/>
              <w:right w:val="double" w:sz="6" w:space="0" w:color="auto"/>
            </w:tcBorders>
            <w:shd w:val="clear" w:color="auto" w:fill="auto"/>
            <w:noWrap/>
            <w:vAlign w:val="bottom"/>
            <w:hideMark/>
          </w:tcPr>
          <w:p w14:paraId="41B6176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98,83</w:t>
            </w:r>
          </w:p>
        </w:tc>
        <w:tc>
          <w:tcPr>
            <w:tcW w:w="1352" w:type="dxa"/>
            <w:tcBorders>
              <w:top w:val="nil"/>
              <w:left w:val="nil"/>
              <w:bottom w:val="nil"/>
              <w:right w:val="single" w:sz="4" w:space="0" w:color="auto"/>
            </w:tcBorders>
            <w:shd w:val="clear" w:color="auto" w:fill="auto"/>
            <w:noWrap/>
            <w:vAlign w:val="bottom"/>
            <w:hideMark/>
          </w:tcPr>
          <w:p w14:paraId="01ACA4C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-5,64</w:t>
            </w:r>
          </w:p>
        </w:tc>
        <w:tc>
          <w:tcPr>
            <w:tcW w:w="1238" w:type="dxa"/>
            <w:tcBorders>
              <w:top w:val="nil"/>
              <w:left w:val="nil"/>
              <w:bottom w:val="nil"/>
              <w:right w:val="double" w:sz="6" w:space="0" w:color="auto"/>
            </w:tcBorders>
            <w:shd w:val="clear" w:color="auto" w:fill="auto"/>
            <w:noWrap/>
            <w:vAlign w:val="bottom"/>
            <w:hideMark/>
          </w:tcPr>
          <w:p w14:paraId="573A68BE"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98,75</w:t>
            </w:r>
          </w:p>
        </w:tc>
      </w:tr>
      <w:tr w:rsidR="007529B0" w:rsidRPr="007529B0" w14:paraId="2622C951"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05C4950"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2004</w:t>
            </w:r>
          </w:p>
        </w:tc>
        <w:tc>
          <w:tcPr>
            <w:tcW w:w="1352" w:type="dxa"/>
            <w:tcBorders>
              <w:top w:val="nil"/>
              <w:left w:val="nil"/>
              <w:bottom w:val="nil"/>
              <w:right w:val="single" w:sz="4" w:space="0" w:color="auto"/>
            </w:tcBorders>
            <w:shd w:val="clear" w:color="auto" w:fill="auto"/>
            <w:noWrap/>
            <w:vAlign w:val="bottom"/>
            <w:hideMark/>
          </w:tcPr>
          <w:p w14:paraId="7F75529B"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52EF0EA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99,82</w:t>
            </w:r>
          </w:p>
        </w:tc>
        <w:tc>
          <w:tcPr>
            <w:tcW w:w="1352" w:type="dxa"/>
            <w:tcBorders>
              <w:top w:val="nil"/>
              <w:left w:val="nil"/>
              <w:bottom w:val="nil"/>
              <w:right w:val="single" w:sz="4" w:space="0" w:color="auto"/>
            </w:tcBorders>
            <w:shd w:val="clear" w:color="auto" w:fill="auto"/>
            <w:noWrap/>
            <w:vAlign w:val="bottom"/>
            <w:hideMark/>
          </w:tcPr>
          <w:p w14:paraId="3810F5F4"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7DB865B5"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99,74</w:t>
            </w:r>
          </w:p>
        </w:tc>
      </w:tr>
      <w:tr w:rsidR="007529B0" w:rsidRPr="007529B0" w14:paraId="386B3353"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F91E5F2"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3B2F2D4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1BE82D9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100,82</w:t>
            </w:r>
          </w:p>
        </w:tc>
        <w:tc>
          <w:tcPr>
            <w:tcW w:w="1352" w:type="dxa"/>
            <w:tcBorders>
              <w:top w:val="nil"/>
              <w:left w:val="nil"/>
              <w:bottom w:val="nil"/>
              <w:right w:val="single" w:sz="4" w:space="0" w:color="auto"/>
            </w:tcBorders>
            <w:shd w:val="clear" w:color="auto" w:fill="auto"/>
            <w:noWrap/>
            <w:vAlign w:val="bottom"/>
            <w:hideMark/>
          </w:tcPr>
          <w:p w14:paraId="3529FA49"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267382B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100,74</w:t>
            </w:r>
          </w:p>
        </w:tc>
      </w:tr>
      <w:tr w:rsidR="007529B0" w:rsidRPr="007529B0" w14:paraId="51BB6140"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39CC681"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2005</w:t>
            </w:r>
          </w:p>
        </w:tc>
        <w:tc>
          <w:tcPr>
            <w:tcW w:w="1352" w:type="dxa"/>
            <w:tcBorders>
              <w:top w:val="nil"/>
              <w:left w:val="nil"/>
              <w:bottom w:val="nil"/>
              <w:right w:val="single" w:sz="4" w:space="0" w:color="auto"/>
            </w:tcBorders>
            <w:shd w:val="clear" w:color="auto" w:fill="auto"/>
            <w:noWrap/>
            <w:vAlign w:val="bottom"/>
            <w:hideMark/>
          </w:tcPr>
          <w:p w14:paraId="3078040D"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740419D"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100,82</w:t>
            </w:r>
          </w:p>
        </w:tc>
        <w:tc>
          <w:tcPr>
            <w:tcW w:w="1352" w:type="dxa"/>
            <w:tcBorders>
              <w:top w:val="nil"/>
              <w:left w:val="nil"/>
              <w:bottom w:val="nil"/>
              <w:right w:val="single" w:sz="4" w:space="0" w:color="auto"/>
            </w:tcBorders>
            <w:shd w:val="clear" w:color="auto" w:fill="auto"/>
            <w:noWrap/>
            <w:vAlign w:val="bottom"/>
            <w:hideMark/>
          </w:tcPr>
          <w:p w14:paraId="4721E42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A3B586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100,74</w:t>
            </w:r>
          </w:p>
        </w:tc>
      </w:tr>
      <w:tr w:rsidR="007529B0" w:rsidRPr="007529B0" w14:paraId="27D50F75"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C8EBB94"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2006</w:t>
            </w:r>
          </w:p>
        </w:tc>
        <w:tc>
          <w:tcPr>
            <w:tcW w:w="1352" w:type="dxa"/>
            <w:tcBorders>
              <w:top w:val="nil"/>
              <w:left w:val="nil"/>
              <w:bottom w:val="nil"/>
              <w:right w:val="single" w:sz="4" w:space="0" w:color="auto"/>
            </w:tcBorders>
            <w:shd w:val="clear" w:color="auto" w:fill="auto"/>
            <w:noWrap/>
            <w:vAlign w:val="bottom"/>
            <w:hideMark/>
          </w:tcPr>
          <w:p w14:paraId="2ABEE2C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80DAC4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100,82</w:t>
            </w:r>
          </w:p>
        </w:tc>
        <w:tc>
          <w:tcPr>
            <w:tcW w:w="1352" w:type="dxa"/>
            <w:tcBorders>
              <w:top w:val="nil"/>
              <w:left w:val="nil"/>
              <w:bottom w:val="nil"/>
              <w:right w:val="single" w:sz="4" w:space="0" w:color="auto"/>
            </w:tcBorders>
            <w:shd w:val="clear" w:color="auto" w:fill="auto"/>
            <w:noWrap/>
            <w:vAlign w:val="bottom"/>
            <w:hideMark/>
          </w:tcPr>
          <w:p w14:paraId="3F95FE8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8531EE4"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100,74</w:t>
            </w:r>
          </w:p>
        </w:tc>
      </w:tr>
      <w:tr w:rsidR="007529B0" w:rsidRPr="007529B0" w14:paraId="5EB8F498"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3BED472"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2007</w:t>
            </w:r>
          </w:p>
        </w:tc>
        <w:tc>
          <w:tcPr>
            <w:tcW w:w="1352" w:type="dxa"/>
            <w:tcBorders>
              <w:top w:val="nil"/>
              <w:left w:val="nil"/>
              <w:bottom w:val="nil"/>
              <w:right w:val="single" w:sz="4" w:space="0" w:color="auto"/>
            </w:tcBorders>
            <w:shd w:val="clear" w:color="auto" w:fill="auto"/>
            <w:noWrap/>
            <w:vAlign w:val="bottom"/>
            <w:hideMark/>
          </w:tcPr>
          <w:p w14:paraId="3AE8E431"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13871048"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100,82</w:t>
            </w:r>
          </w:p>
        </w:tc>
        <w:tc>
          <w:tcPr>
            <w:tcW w:w="1352" w:type="dxa"/>
            <w:tcBorders>
              <w:top w:val="nil"/>
              <w:left w:val="nil"/>
              <w:bottom w:val="nil"/>
              <w:right w:val="single" w:sz="4" w:space="0" w:color="auto"/>
            </w:tcBorders>
            <w:shd w:val="clear" w:color="auto" w:fill="auto"/>
            <w:noWrap/>
            <w:vAlign w:val="bottom"/>
            <w:hideMark/>
          </w:tcPr>
          <w:p w14:paraId="3F8863E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6E6CCB1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100,74</w:t>
            </w:r>
          </w:p>
        </w:tc>
      </w:tr>
      <w:tr w:rsidR="007529B0" w:rsidRPr="007529B0" w14:paraId="5AC2077B"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88C5C22"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2008</w:t>
            </w:r>
          </w:p>
        </w:tc>
        <w:tc>
          <w:tcPr>
            <w:tcW w:w="1352" w:type="dxa"/>
            <w:tcBorders>
              <w:top w:val="nil"/>
              <w:left w:val="nil"/>
              <w:bottom w:val="nil"/>
              <w:right w:val="single" w:sz="4" w:space="0" w:color="auto"/>
            </w:tcBorders>
            <w:shd w:val="clear" w:color="auto" w:fill="auto"/>
            <w:noWrap/>
            <w:vAlign w:val="bottom"/>
            <w:hideMark/>
          </w:tcPr>
          <w:p w14:paraId="3BB77A4A"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08DB3F21"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101,31</w:t>
            </w:r>
          </w:p>
        </w:tc>
        <w:tc>
          <w:tcPr>
            <w:tcW w:w="1352" w:type="dxa"/>
            <w:tcBorders>
              <w:top w:val="nil"/>
              <w:left w:val="nil"/>
              <w:bottom w:val="nil"/>
              <w:right w:val="single" w:sz="4" w:space="0" w:color="auto"/>
            </w:tcBorders>
            <w:shd w:val="clear" w:color="auto" w:fill="auto"/>
            <w:noWrap/>
            <w:vAlign w:val="bottom"/>
            <w:hideMark/>
          </w:tcPr>
          <w:p w14:paraId="5E118B16"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6211AA6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101,19</w:t>
            </w:r>
          </w:p>
        </w:tc>
      </w:tr>
      <w:tr w:rsidR="007529B0" w:rsidRPr="007529B0" w14:paraId="11486A31"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0A5D505"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2009</w:t>
            </w:r>
          </w:p>
        </w:tc>
        <w:tc>
          <w:tcPr>
            <w:tcW w:w="1352" w:type="dxa"/>
            <w:tcBorders>
              <w:top w:val="nil"/>
              <w:left w:val="nil"/>
              <w:bottom w:val="nil"/>
              <w:right w:val="single" w:sz="4" w:space="0" w:color="auto"/>
            </w:tcBorders>
            <w:shd w:val="clear" w:color="auto" w:fill="auto"/>
            <w:noWrap/>
            <w:vAlign w:val="bottom"/>
            <w:hideMark/>
          </w:tcPr>
          <w:p w14:paraId="54EA0AC4"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31ABD4E6"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101,31</w:t>
            </w:r>
          </w:p>
        </w:tc>
        <w:tc>
          <w:tcPr>
            <w:tcW w:w="1352" w:type="dxa"/>
            <w:tcBorders>
              <w:top w:val="nil"/>
              <w:left w:val="nil"/>
              <w:bottom w:val="nil"/>
              <w:right w:val="single" w:sz="4" w:space="0" w:color="auto"/>
            </w:tcBorders>
            <w:shd w:val="clear" w:color="auto" w:fill="auto"/>
            <w:noWrap/>
            <w:vAlign w:val="bottom"/>
            <w:hideMark/>
          </w:tcPr>
          <w:p w14:paraId="28135146"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821BC7B"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101,19</w:t>
            </w:r>
          </w:p>
        </w:tc>
      </w:tr>
      <w:tr w:rsidR="007529B0" w:rsidRPr="007529B0" w14:paraId="21685211"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221E936C"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2010</w:t>
            </w:r>
          </w:p>
        </w:tc>
        <w:tc>
          <w:tcPr>
            <w:tcW w:w="1352" w:type="dxa"/>
            <w:tcBorders>
              <w:top w:val="nil"/>
              <w:left w:val="nil"/>
              <w:bottom w:val="nil"/>
              <w:right w:val="single" w:sz="4" w:space="0" w:color="auto"/>
            </w:tcBorders>
            <w:shd w:val="clear" w:color="auto" w:fill="auto"/>
            <w:noWrap/>
            <w:vAlign w:val="bottom"/>
            <w:hideMark/>
          </w:tcPr>
          <w:p w14:paraId="0A0A63DD"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4BA5CFA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100,82</w:t>
            </w:r>
          </w:p>
        </w:tc>
        <w:tc>
          <w:tcPr>
            <w:tcW w:w="1352" w:type="dxa"/>
            <w:tcBorders>
              <w:top w:val="nil"/>
              <w:left w:val="nil"/>
              <w:bottom w:val="nil"/>
              <w:right w:val="single" w:sz="4" w:space="0" w:color="auto"/>
            </w:tcBorders>
            <w:shd w:val="clear" w:color="auto" w:fill="auto"/>
            <w:noWrap/>
            <w:vAlign w:val="bottom"/>
            <w:hideMark/>
          </w:tcPr>
          <w:p w14:paraId="331C269D"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5A0232EB"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100,73</w:t>
            </w:r>
          </w:p>
        </w:tc>
      </w:tr>
      <w:tr w:rsidR="007529B0" w:rsidRPr="007529B0" w14:paraId="0DE39FA2"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A2110D8"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219010ED"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2EE6218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102,33</w:t>
            </w:r>
          </w:p>
        </w:tc>
        <w:tc>
          <w:tcPr>
            <w:tcW w:w="1352" w:type="dxa"/>
            <w:tcBorders>
              <w:top w:val="nil"/>
              <w:left w:val="nil"/>
              <w:bottom w:val="nil"/>
              <w:right w:val="single" w:sz="4" w:space="0" w:color="auto"/>
            </w:tcBorders>
            <w:shd w:val="clear" w:color="auto" w:fill="auto"/>
            <w:noWrap/>
            <w:vAlign w:val="bottom"/>
            <w:hideMark/>
          </w:tcPr>
          <w:p w14:paraId="4D9FF754"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0CE0247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102,24</w:t>
            </w:r>
          </w:p>
        </w:tc>
      </w:tr>
      <w:tr w:rsidR="007529B0" w:rsidRPr="007529B0" w14:paraId="5C92AC05"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06FB861"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2011</w:t>
            </w:r>
          </w:p>
        </w:tc>
        <w:tc>
          <w:tcPr>
            <w:tcW w:w="1352" w:type="dxa"/>
            <w:tcBorders>
              <w:top w:val="nil"/>
              <w:left w:val="nil"/>
              <w:bottom w:val="nil"/>
              <w:right w:val="single" w:sz="4" w:space="0" w:color="auto"/>
            </w:tcBorders>
            <w:shd w:val="clear" w:color="auto" w:fill="auto"/>
            <w:noWrap/>
            <w:vAlign w:val="bottom"/>
            <w:hideMark/>
          </w:tcPr>
          <w:p w14:paraId="090159BA"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2,33</w:t>
            </w:r>
          </w:p>
        </w:tc>
        <w:tc>
          <w:tcPr>
            <w:tcW w:w="1238" w:type="dxa"/>
            <w:tcBorders>
              <w:top w:val="nil"/>
              <w:left w:val="nil"/>
              <w:bottom w:val="nil"/>
              <w:right w:val="double" w:sz="6" w:space="0" w:color="auto"/>
            </w:tcBorders>
            <w:shd w:val="clear" w:color="auto" w:fill="auto"/>
            <w:noWrap/>
            <w:vAlign w:val="bottom"/>
            <w:hideMark/>
          </w:tcPr>
          <w:p w14:paraId="13DBEB0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104,71</w:t>
            </w:r>
          </w:p>
        </w:tc>
        <w:tc>
          <w:tcPr>
            <w:tcW w:w="1352" w:type="dxa"/>
            <w:tcBorders>
              <w:top w:val="nil"/>
              <w:left w:val="nil"/>
              <w:bottom w:val="nil"/>
              <w:right w:val="single" w:sz="4" w:space="0" w:color="auto"/>
            </w:tcBorders>
            <w:shd w:val="clear" w:color="auto" w:fill="auto"/>
            <w:noWrap/>
            <w:vAlign w:val="bottom"/>
            <w:hideMark/>
          </w:tcPr>
          <w:p w14:paraId="76D4E0DB"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2,30</w:t>
            </w:r>
          </w:p>
        </w:tc>
        <w:tc>
          <w:tcPr>
            <w:tcW w:w="1238" w:type="dxa"/>
            <w:tcBorders>
              <w:top w:val="nil"/>
              <w:left w:val="nil"/>
              <w:bottom w:val="nil"/>
              <w:right w:val="double" w:sz="6" w:space="0" w:color="auto"/>
            </w:tcBorders>
            <w:shd w:val="clear" w:color="auto" w:fill="auto"/>
            <w:noWrap/>
            <w:vAlign w:val="bottom"/>
            <w:hideMark/>
          </w:tcPr>
          <w:p w14:paraId="5FC325E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104,60</w:t>
            </w:r>
          </w:p>
        </w:tc>
      </w:tr>
      <w:tr w:rsidR="007529B0" w:rsidRPr="007529B0" w14:paraId="73A77223"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1DE1B21"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2012</w:t>
            </w:r>
          </w:p>
        </w:tc>
        <w:tc>
          <w:tcPr>
            <w:tcW w:w="1352" w:type="dxa"/>
            <w:tcBorders>
              <w:top w:val="nil"/>
              <w:left w:val="nil"/>
              <w:bottom w:val="nil"/>
              <w:right w:val="single" w:sz="4" w:space="0" w:color="auto"/>
            </w:tcBorders>
            <w:shd w:val="clear" w:color="auto" w:fill="auto"/>
            <w:noWrap/>
            <w:vAlign w:val="bottom"/>
            <w:hideMark/>
          </w:tcPr>
          <w:p w14:paraId="40C3764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259CC7CE"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106,81</w:t>
            </w:r>
          </w:p>
        </w:tc>
        <w:tc>
          <w:tcPr>
            <w:tcW w:w="1352" w:type="dxa"/>
            <w:tcBorders>
              <w:top w:val="nil"/>
              <w:left w:val="nil"/>
              <w:bottom w:val="nil"/>
              <w:right w:val="single" w:sz="4" w:space="0" w:color="auto"/>
            </w:tcBorders>
            <w:shd w:val="clear" w:color="auto" w:fill="auto"/>
            <w:noWrap/>
            <w:vAlign w:val="bottom"/>
            <w:hideMark/>
          </w:tcPr>
          <w:p w14:paraId="0AA9DDB1"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31AA771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106,69</w:t>
            </w:r>
          </w:p>
        </w:tc>
      </w:tr>
      <w:tr w:rsidR="007529B0" w:rsidRPr="007529B0" w14:paraId="1A28184D"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9D29F2C"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2013</w:t>
            </w:r>
          </w:p>
        </w:tc>
        <w:tc>
          <w:tcPr>
            <w:tcW w:w="1352" w:type="dxa"/>
            <w:tcBorders>
              <w:top w:val="nil"/>
              <w:left w:val="nil"/>
              <w:bottom w:val="nil"/>
              <w:right w:val="single" w:sz="4" w:space="0" w:color="auto"/>
            </w:tcBorders>
            <w:shd w:val="clear" w:color="auto" w:fill="auto"/>
            <w:noWrap/>
            <w:vAlign w:val="bottom"/>
            <w:hideMark/>
          </w:tcPr>
          <w:p w14:paraId="203161EF"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2186C68C"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108,95</w:t>
            </w:r>
          </w:p>
        </w:tc>
        <w:tc>
          <w:tcPr>
            <w:tcW w:w="1352" w:type="dxa"/>
            <w:tcBorders>
              <w:top w:val="nil"/>
              <w:left w:val="nil"/>
              <w:bottom w:val="nil"/>
              <w:right w:val="single" w:sz="4" w:space="0" w:color="auto"/>
            </w:tcBorders>
            <w:shd w:val="clear" w:color="auto" w:fill="auto"/>
            <w:noWrap/>
            <w:vAlign w:val="bottom"/>
            <w:hideMark/>
          </w:tcPr>
          <w:p w14:paraId="4A7BAF9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060C1FAE"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108,82</w:t>
            </w:r>
          </w:p>
        </w:tc>
      </w:tr>
      <w:tr w:rsidR="007529B0" w:rsidRPr="007529B0" w14:paraId="4AD9588D"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F38FD65"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2014</w:t>
            </w:r>
          </w:p>
        </w:tc>
        <w:tc>
          <w:tcPr>
            <w:tcW w:w="1352" w:type="dxa"/>
            <w:tcBorders>
              <w:top w:val="nil"/>
              <w:left w:val="nil"/>
              <w:bottom w:val="nil"/>
              <w:right w:val="single" w:sz="4" w:space="0" w:color="auto"/>
            </w:tcBorders>
            <w:shd w:val="clear" w:color="auto" w:fill="auto"/>
            <w:noWrap/>
            <w:vAlign w:val="bottom"/>
            <w:hideMark/>
          </w:tcPr>
          <w:p w14:paraId="185DC0BE"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5FB80393"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112,21</w:t>
            </w:r>
          </w:p>
        </w:tc>
        <w:tc>
          <w:tcPr>
            <w:tcW w:w="1352" w:type="dxa"/>
            <w:tcBorders>
              <w:top w:val="nil"/>
              <w:left w:val="nil"/>
              <w:bottom w:val="nil"/>
              <w:right w:val="single" w:sz="4" w:space="0" w:color="auto"/>
            </w:tcBorders>
            <w:shd w:val="clear" w:color="auto" w:fill="auto"/>
            <w:noWrap/>
            <w:vAlign w:val="bottom"/>
            <w:hideMark/>
          </w:tcPr>
          <w:p w14:paraId="316E145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670F23B2"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112,09</w:t>
            </w:r>
          </w:p>
        </w:tc>
      </w:tr>
      <w:tr w:rsidR="007529B0" w:rsidRPr="007529B0" w14:paraId="4D4AD19A" w14:textId="77777777" w:rsidTr="007529B0">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F2700DA"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2015</w:t>
            </w:r>
          </w:p>
        </w:tc>
        <w:tc>
          <w:tcPr>
            <w:tcW w:w="1352" w:type="dxa"/>
            <w:tcBorders>
              <w:top w:val="nil"/>
              <w:left w:val="nil"/>
              <w:bottom w:val="nil"/>
              <w:right w:val="single" w:sz="4" w:space="0" w:color="auto"/>
            </w:tcBorders>
            <w:shd w:val="clear" w:color="auto" w:fill="auto"/>
            <w:noWrap/>
            <w:vAlign w:val="bottom"/>
            <w:hideMark/>
          </w:tcPr>
          <w:p w14:paraId="665866B0"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68685051"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115,58</w:t>
            </w:r>
          </w:p>
        </w:tc>
        <w:tc>
          <w:tcPr>
            <w:tcW w:w="1352" w:type="dxa"/>
            <w:tcBorders>
              <w:top w:val="nil"/>
              <w:left w:val="nil"/>
              <w:bottom w:val="nil"/>
              <w:right w:val="single" w:sz="4" w:space="0" w:color="auto"/>
            </w:tcBorders>
            <w:shd w:val="clear" w:color="auto" w:fill="auto"/>
            <w:noWrap/>
            <w:vAlign w:val="bottom"/>
            <w:hideMark/>
          </w:tcPr>
          <w:p w14:paraId="04DE203A"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5886FAA8"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115,45</w:t>
            </w:r>
          </w:p>
        </w:tc>
      </w:tr>
      <w:tr w:rsidR="007529B0" w:rsidRPr="007529B0" w14:paraId="4555970A" w14:textId="77777777" w:rsidTr="007529B0">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4A57E13A"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2016</w:t>
            </w:r>
          </w:p>
        </w:tc>
        <w:tc>
          <w:tcPr>
            <w:tcW w:w="1352" w:type="dxa"/>
            <w:tcBorders>
              <w:top w:val="nil"/>
              <w:left w:val="nil"/>
              <w:bottom w:val="nil"/>
              <w:right w:val="single" w:sz="4" w:space="0" w:color="auto"/>
            </w:tcBorders>
            <w:shd w:val="clear" w:color="auto" w:fill="auto"/>
            <w:noWrap/>
            <w:vAlign w:val="bottom"/>
            <w:hideMark/>
          </w:tcPr>
          <w:p w14:paraId="28685792"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45F44C4A"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118,82</w:t>
            </w:r>
          </w:p>
        </w:tc>
        <w:tc>
          <w:tcPr>
            <w:tcW w:w="1352" w:type="dxa"/>
            <w:tcBorders>
              <w:top w:val="nil"/>
              <w:left w:val="nil"/>
              <w:bottom w:val="nil"/>
              <w:right w:val="single" w:sz="4" w:space="0" w:color="auto"/>
            </w:tcBorders>
            <w:shd w:val="clear" w:color="auto" w:fill="auto"/>
            <w:noWrap/>
            <w:vAlign w:val="bottom"/>
            <w:hideMark/>
          </w:tcPr>
          <w:p w14:paraId="481F7AF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7ABD2587" w14:textId="77777777" w:rsidR="007529B0" w:rsidRPr="007529B0" w:rsidRDefault="007529B0" w:rsidP="007529B0">
            <w:pPr>
              <w:overflowPunct/>
              <w:autoSpaceDE/>
              <w:autoSpaceDN/>
              <w:adjustRightInd/>
              <w:jc w:val="right"/>
              <w:textAlignment w:val="auto"/>
              <w:rPr>
                <w:rFonts w:ascii="Arial" w:hAnsi="Arial" w:cs="Arial"/>
                <w:color w:val="000000"/>
              </w:rPr>
            </w:pPr>
            <w:r w:rsidRPr="007529B0">
              <w:rPr>
                <w:rFonts w:ascii="Arial" w:hAnsi="Arial" w:cs="Arial"/>
                <w:color w:val="000000"/>
              </w:rPr>
              <w:t>118,68</w:t>
            </w:r>
          </w:p>
        </w:tc>
      </w:tr>
      <w:tr w:rsidR="007529B0" w:rsidRPr="007529B0" w14:paraId="34873F2B" w14:textId="77777777" w:rsidTr="007529B0">
        <w:trPr>
          <w:trHeight w:val="276"/>
        </w:trPr>
        <w:tc>
          <w:tcPr>
            <w:tcW w:w="1240" w:type="dxa"/>
            <w:tcBorders>
              <w:top w:val="single" w:sz="8" w:space="0" w:color="auto"/>
              <w:left w:val="double" w:sz="6" w:space="0" w:color="auto"/>
              <w:bottom w:val="double" w:sz="6" w:space="0" w:color="auto"/>
              <w:right w:val="double" w:sz="6" w:space="0" w:color="auto"/>
            </w:tcBorders>
            <w:shd w:val="clear" w:color="auto" w:fill="auto"/>
            <w:noWrap/>
            <w:vAlign w:val="bottom"/>
            <w:hideMark/>
          </w:tcPr>
          <w:p w14:paraId="7F904327" w14:textId="77777777" w:rsidR="007529B0" w:rsidRPr="007529B0" w:rsidRDefault="007529B0" w:rsidP="007529B0">
            <w:pPr>
              <w:overflowPunct/>
              <w:autoSpaceDE/>
              <w:autoSpaceDN/>
              <w:adjustRightInd/>
              <w:jc w:val="center"/>
              <w:textAlignment w:val="auto"/>
              <w:rPr>
                <w:rFonts w:ascii="Arial" w:hAnsi="Arial" w:cs="Arial"/>
                <w:color w:val="000000"/>
              </w:rPr>
            </w:pPr>
            <w:r w:rsidRPr="007529B0">
              <w:rPr>
                <w:rFonts w:ascii="Arial" w:hAnsi="Arial" w:cs="Arial"/>
                <w:color w:val="000000"/>
              </w:rPr>
              <w:t> </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5C6D3E48" w14:textId="77777777" w:rsidR="007529B0" w:rsidRPr="007529B0" w:rsidRDefault="007529B0" w:rsidP="007529B0">
            <w:pPr>
              <w:overflowPunct/>
              <w:autoSpaceDE/>
              <w:autoSpaceDN/>
              <w:adjustRightInd/>
              <w:textAlignment w:val="auto"/>
              <w:rPr>
                <w:rFonts w:ascii="Arial" w:hAnsi="Arial" w:cs="Arial"/>
                <w:color w:val="000000"/>
              </w:rPr>
            </w:pPr>
            <w:r w:rsidRPr="007529B0">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65FB2798" w14:textId="77777777" w:rsidR="007529B0" w:rsidRPr="007529B0" w:rsidRDefault="007529B0" w:rsidP="007529B0">
            <w:pPr>
              <w:overflowPunct/>
              <w:autoSpaceDE/>
              <w:autoSpaceDN/>
              <w:adjustRightInd/>
              <w:jc w:val="right"/>
              <w:textAlignment w:val="auto"/>
              <w:rPr>
                <w:rFonts w:ascii="Arial" w:hAnsi="Arial" w:cs="Arial"/>
                <w:b/>
                <w:bCs/>
                <w:color w:val="000000"/>
              </w:rPr>
            </w:pPr>
            <w:r w:rsidRPr="007529B0">
              <w:rPr>
                <w:rFonts w:ascii="Arial" w:hAnsi="Arial" w:cs="Arial"/>
                <w:b/>
                <w:bCs/>
                <w:color w:val="000000"/>
              </w:rPr>
              <w:t>18,82</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6F2AF172" w14:textId="77777777" w:rsidR="007529B0" w:rsidRPr="007529B0" w:rsidRDefault="007529B0" w:rsidP="007529B0">
            <w:pPr>
              <w:overflowPunct/>
              <w:autoSpaceDE/>
              <w:autoSpaceDN/>
              <w:adjustRightInd/>
              <w:textAlignment w:val="auto"/>
              <w:rPr>
                <w:rFonts w:ascii="Arial" w:hAnsi="Arial" w:cs="Arial"/>
                <w:color w:val="000000"/>
              </w:rPr>
            </w:pPr>
            <w:r w:rsidRPr="007529B0">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5D7D8C96" w14:textId="77777777" w:rsidR="007529B0" w:rsidRPr="007529B0" w:rsidRDefault="007529B0" w:rsidP="007529B0">
            <w:pPr>
              <w:overflowPunct/>
              <w:autoSpaceDE/>
              <w:autoSpaceDN/>
              <w:adjustRightInd/>
              <w:jc w:val="right"/>
              <w:textAlignment w:val="auto"/>
              <w:rPr>
                <w:rFonts w:ascii="Arial" w:hAnsi="Arial" w:cs="Arial"/>
                <w:b/>
                <w:bCs/>
                <w:color w:val="000000"/>
              </w:rPr>
            </w:pPr>
            <w:r w:rsidRPr="007529B0">
              <w:rPr>
                <w:rFonts w:ascii="Arial" w:hAnsi="Arial" w:cs="Arial"/>
                <w:b/>
                <w:bCs/>
                <w:color w:val="000000"/>
              </w:rPr>
              <w:t>18,68</w:t>
            </w:r>
          </w:p>
        </w:tc>
      </w:tr>
    </w:tbl>
    <w:p w14:paraId="00E8CF3F" w14:textId="69F6AC60" w:rsidR="007529B0" w:rsidRDefault="007529B0" w:rsidP="00503386">
      <w:pPr>
        <w:overflowPunct/>
        <w:autoSpaceDE/>
        <w:autoSpaceDN/>
        <w:adjustRightInd/>
        <w:spacing w:line="276" w:lineRule="auto"/>
        <w:ind w:left="2124"/>
        <w:textAlignment w:val="auto"/>
        <w:rPr>
          <w:rFonts w:ascii="Arial" w:eastAsia="Calibri" w:hAnsi="Arial" w:cs="Arial"/>
          <w:sz w:val="24"/>
          <w:szCs w:val="24"/>
          <w:lang w:eastAsia="en-US"/>
        </w:rPr>
      </w:pPr>
    </w:p>
    <w:p w14:paraId="1263D9A3" w14:textId="5E613C73" w:rsidR="008F0412" w:rsidRPr="00CC59E0" w:rsidRDefault="008F0412" w:rsidP="00503386">
      <w:pPr>
        <w:overflowPunct/>
        <w:spacing w:line="276" w:lineRule="auto"/>
        <w:jc w:val="both"/>
        <w:textAlignment w:val="auto"/>
        <w:rPr>
          <w:rFonts w:ascii="Arial" w:eastAsia="Calibri" w:hAnsi="Arial" w:cs="Arial"/>
          <w:sz w:val="24"/>
          <w:szCs w:val="24"/>
          <w:lang w:eastAsia="en-US"/>
        </w:rPr>
      </w:pPr>
      <w:r w:rsidRPr="008F0412">
        <w:rPr>
          <w:rFonts w:ascii="Arial" w:eastAsia="Calibri" w:hAnsi="Arial" w:cs="Arial"/>
          <w:sz w:val="24"/>
          <w:szCs w:val="24"/>
          <w:lang w:eastAsia="en-US"/>
        </w:rPr>
        <w:t>(</w:t>
      </w:r>
      <w:r>
        <w:rPr>
          <w:rFonts w:ascii="Arial" w:eastAsia="Calibri" w:hAnsi="Arial" w:cs="Arial"/>
          <w:sz w:val="24"/>
          <w:szCs w:val="24"/>
          <w:lang w:eastAsia="en-US"/>
        </w:rPr>
        <w:t>2</w:t>
      </w:r>
      <w:r w:rsidRPr="008F0412">
        <w:rPr>
          <w:rFonts w:ascii="Arial" w:eastAsia="Calibri" w:hAnsi="Arial" w:cs="Arial"/>
          <w:sz w:val="24"/>
          <w:szCs w:val="24"/>
          <w:lang w:eastAsia="en-US"/>
        </w:rPr>
        <w:t>) Im Zeitraum 200</w:t>
      </w:r>
      <w:r>
        <w:rPr>
          <w:rFonts w:ascii="Arial" w:eastAsia="Calibri" w:hAnsi="Arial" w:cs="Arial"/>
          <w:sz w:val="24"/>
          <w:szCs w:val="24"/>
          <w:lang w:eastAsia="en-US"/>
        </w:rPr>
        <w:t>2</w:t>
      </w:r>
      <w:r w:rsidRPr="008F0412">
        <w:rPr>
          <w:rFonts w:ascii="Arial" w:eastAsia="Calibri" w:hAnsi="Arial" w:cs="Arial"/>
          <w:sz w:val="24"/>
          <w:szCs w:val="24"/>
          <w:lang w:eastAsia="en-US"/>
        </w:rPr>
        <w:t xml:space="preserve"> bis 201</w:t>
      </w:r>
      <w:r>
        <w:rPr>
          <w:rFonts w:ascii="Arial" w:eastAsia="Calibri" w:hAnsi="Arial" w:cs="Arial"/>
          <w:sz w:val="24"/>
          <w:szCs w:val="24"/>
          <w:lang w:eastAsia="en-US"/>
        </w:rPr>
        <w:t>7</w:t>
      </w:r>
      <w:r w:rsidRPr="008F0412">
        <w:rPr>
          <w:rFonts w:ascii="Arial" w:eastAsia="Calibri" w:hAnsi="Arial" w:cs="Arial"/>
          <w:sz w:val="24"/>
          <w:szCs w:val="24"/>
          <w:lang w:eastAsia="en-US"/>
        </w:rPr>
        <w:t xml:space="preserve"> stieg die Besoldung der Besoldungsgruppe R</w:t>
      </w:r>
      <w:r w:rsidR="008B55A1">
        <w:rPr>
          <w:rFonts w:ascii="Arial" w:eastAsia="Calibri" w:hAnsi="Arial" w:cs="Arial"/>
          <w:sz w:val="24"/>
          <w:szCs w:val="24"/>
          <w:lang w:eastAsia="en-US"/>
        </w:rPr>
        <w:t xml:space="preserve"> </w:t>
      </w:r>
      <w:r w:rsidRPr="008F0412">
        <w:rPr>
          <w:rFonts w:ascii="Arial" w:eastAsia="Calibri" w:hAnsi="Arial" w:cs="Arial"/>
          <w:sz w:val="24"/>
          <w:szCs w:val="24"/>
          <w:lang w:eastAsia="en-US"/>
        </w:rPr>
        <w:t xml:space="preserve">1 um </w:t>
      </w:r>
      <w:r w:rsidR="00603DAA">
        <w:rPr>
          <w:rFonts w:ascii="Arial" w:eastAsia="Calibri" w:hAnsi="Arial" w:cs="Arial"/>
          <w:sz w:val="24"/>
          <w:szCs w:val="24"/>
          <w:lang w:eastAsia="en-US"/>
        </w:rPr>
        <w:t>19,</w:t>
      </w:r>
      <w:r w:rsidR="002F6D27">
        <w:rPr>
          <w:rFonts w:ascii="Arial" w:eastAsia="Calibri" w:hAnsi="Arial" w:cs="Arial"/>
          <w:sz w:val="24"/>
          <w:szCs w:val="24"/>
          <w:lang w:eastAsia="en-US"/>
        </w:rPr>
        <w:t>54</w:t>
      </w:r>
      <w:r w:rsidRPr="008F0412">
        <w:rPr>
          <w:rFonts w:ascii="Arial" w:eastAsia="Calibri" w:hAnsi="Arial" w:cs="Arial"/>
          <w:sz w:val="24"/>
          <w:szCs w:val="24"/>
          <w:lang w:eastAsia="en-US"/>
        </w:rPr>
        <w:t xml:space="preserve"> % </w:t>
      </w:r>
      <w:bookmarkStart w:id="13" w:name="_Hlk89179172"/>
      <w:r w:rsidRPr="008F0412">
        <w:rPr>
          <w:rFonts w:ascii="Arial" w:eastAsia="Calibri" w:hAnsi="Arial" w:cs="Arial"/>
          <w:sz w:val="24"/>
          <w:szCs w:val="24"/>
          <w:lang w:eastAsia="en-US"/>
        </w:rPr>
        <w:t xml:space="preserve">und diejenige der </w:t>
      </w:r>
      <w:r w:rsidRPr="00CC59E0">
        <w:rPr>
          <w:rFonts w:ascii="Arial" w:eastAsia="Calibri" w:hAnsi="Arial" w:cs="Arial"/>
          <w:sz w:val="24"/>
          <w:szCs w:val="24"/>
          <w:lang w:eastAsia="en-US"/>
        </w:rPr>
        <w:t xml:space="preserve">Besoldungsgruppe R 2 um </w:t>
      </w:r>
      <w:r w:rsidR="00CC59E0" w:rsidRPr="00CC59E0">
        <w:rPr>
          <w:rFonts w:ascii="Arial" w:eastAsia="Calibri" w:hAnsi="Arial" w:cs="Arial"/>
          <w:sz w:val="24"/>
          <w:szCs w:val="24"/>
          <w:lang w:eastAsia="en-US"/>
        </w:rPr>
        <w:t>19,</w:t>
      </w:r>
      <w:r w:rsidR="002F6D27">
        <w:rPr>
          <w:rFonts w:ascii="Arial" w:eastAsia="Calibri" w:hAnsi="Arial" w:cs="Arial"/>
          <w:sz w:val="24"/>
          <w:szCs w:val="24"/>
          <w:lang w:eastAsia="en-US"/>
        </w:rPr>
        <w:t>37</w:t>
      </w:r>
      <w:r w:rsidRPr="00CC59E0">
        <w:rPr>
          <w:rFonts w:ascii="Arial" w:eastAsia="Calibri" w:hAnsi="Arial" w:cs="Arial"/>
          <w:sz w:val="24"/>
          <w:szCs w:val="24"/>
          <w:lang w:eastAsia="en-US"/>
        </w:rPr>
        <w:t xml:space="preserve"> %. </w:t>
      </w:r>
      <w:bookmarkEnd w:id="13"/>
    </w:p>
    <w:p w14:paraId="70CBA3C2" w14:textId="33F564F5" w:rsidR="00CC59E0" w:rsidRDefault="00CC59E0" w:rsidP="00503386">
      <w:pPr>
        <w:overflowPunct/>
        <w:spacing w:line="276" w:lineRule="auto"/>
        <w:ind w:left="2832"/>
        <w:textAlignment w:val="auto"/>
        <w:rPr>
          <w:rFonts w:ascii="Arial" w:eastAsia="Calibri" w:hAnsi="Arial" w:cs="Arial"/>
          <w:sz w:val="24"/>
          <w:szCs w:val="24"/>
          <w:lang w:eastAsia="en-US"/>
        </w:rPr>
      </w:pPr>
    </w:p>
    <w:tbl>
      <w:tblPr>
        <w:tblW w:w="6420" w:type="dxa"/>
        <w:tblInd w:w="801" w:type="dxa"/>
        <w:tblCellMar>
          <w:left w:w="70" w:type="dxa"/>
          <w:right w:w="70" w:type="dxa"/>
        </w:tblCellMar>
        <w:tblLook w:val="04A0" w:firstRow="1" w:lastRow="0" w:firstColumn="1" w:lastColumn="0" w:noHBand="0" w:noVBand="1"/>
      </w:tblPr>
      <w:tblGrid>
        <w:gridCol w:w="1240"/>
        <w:gridCol w:w="1352"/>
        <w:gridCol w:w="1238"/>
        <w:gridCol w:w="1352"/>
        <w:gridCol w:w="1238"/>
      </w:tblGrid>
      <w:tr w:rsidR="002F6D27" w:rsidRPr="002F6D27" w14:paraId="0CFFDE5A" w14:textId="77777777" w:rsidTr="002F6D27">
        <w:trPr>
          <w:trHeight w:val="288"/>
        </w:trPr>
        <w:tc>
          <w:tcPr>
            <w:tcW w:w="124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5549F7C6"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11B34664"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R1</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25A02D8A"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R2</w:t>
            </w:r>
          </w:p>
        </w:tc>
      </w:tr>
      <w:tr w:rsidR="002F6D27" w:rsidRPr="002F6D27" w14:paraId="51210B28" w14:textId="77777777" w:rsidTr="002F6D27">
        <w:trPr>
          <w:trHeight w:val="540"/>
        </w:trPr>
        <w:tc>
          <w:tcPr>
            <w:tcW w:w="1240" w:type="dxa"/>
            <w:tcBorders>
              <w:top w:val="nil"/>
              <w:left w:val="double" w:sz="6" w:space="0" w:color="auto"/>
              <w:bottom w:val="double" w:sz="6" w:space="0" w:color="auto"/>
              <w:right w:val="double" w:sz="6" w:space="0" w:color="auto"/>
            </w:tcBorders>
            <w:shd w:val="clear" w:color="auto" w:fill="auto"/>
            <w:noWrap/>
            <w:vAlign w:val="center"/>
            <w:hideMark/>
          </w:tcPr>
          <w:p w14:paraId="4F01E6A8"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 </w:t>
            </w:r>
          </w:p>
        </w:tc>
        <w:tc>
          <w:tcPr>
            <w:tcW w:w="1352" w:type="dxa"/>
            <w:tcBorders>
              <w:top w:val="nil"/>
              <w:left w:val="nil"/>
              <w:bottom w:val="double" w:sz="6" w:space="0" w:color="auto"/>
              <w:right w:val="single" w:sz="4" w:space="0" w:color="auto"/>
            </w:tcBorders>
            <w:shd w:val="clear" w:color="auto" w:fill="auto"/>
            <w:vAlign w:val="center"/>
            <w:hideMark/>
          </w:tcPr>
          <w:p w14:paraId="16FA8B35"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24BB315E"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c>
          <w:tcPr>
            <w:tcW w:w="1352" w:type="dxa"/>
            <w:tcBorders>
              <w:top w:val="nil"/>
              <w:left w:val="nil"/>
              <w:bottom w:val="double" w:sz="6" w:space="0" w:color="auto"/>
              <w:right w:val="single" w:sz="4" w:space="0" w:color="auto"/>
            </w:tcBorders>
            <w:shd w:val="clear" w:color="auto" w:fill="auto"/>
            <w:vAlign w:val="center"/>
            <w:hideMark/>
          </w:tcPr>
          <w:p w14:paraId="3C61B712"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0BB8F1CD"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r>
      <w:tr w:rsidR="002F6D27" w:rsidRPr="002F6D27" w14:paraId="31422D83"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7BB5D485"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2002</w:t>
            </w:r>
          </w:p>
        </w:tc>
        <w:tc>
          <w:tcPr>
            <w:tcW w:w="1352" w:type="dxa"/>
            <w:tcBorders>
              <w:top w:val="nil"/>
              <w:left w:val="nil"/>
              <w:bottom w:val="nil"/>
              <w:right w:val="single" w:sz="4" w:space="0" w:color="auto"/>
            </w:tcBorders>
            <w:shd w:val="clear" w:color="auto" w:fill="auto"/>
            <w:noWrap/>
            <w:vAlign w:val="bottom"/>
            <w:hideMark/>
          </w:tcPr>
          <w:p w14:paraId="09A6EE1A"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6409119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4AF5C0C0"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50F0643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53737F06"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2D8BAA7"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2003</w:t>
            </w:r>
          </w:p>
        </w:tc>
        <w:tc>
          <w:tcPr>
            <w:tcW w:w="1352" w:type="dxa"/>
            <w:tcBorders>
              <w:top w:val="nil"/>
              <w:left w:val="nil"/>
              <w:bottom w:val="nil"/>
              <w:right w:val="single" w:sz="4" w:space="0" w:color="auto"/>
            </w:tcBorders>
            <w:shd w:val="clear" w:color="auto" w:fill="auto"/>
            <w:noWrap/>
            <w:vAlign w:val="bottom"/>
            <w:hideMark/>
          </w:tcPr>
          <w:p w14:paraId="5F7D7E1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2,40</w:t>
            </w:r>
          </w:p>
        </w:tc>
        <w:tc>
          <w:tcPr>
            <w:tcW w:w="1238" w:type="dxa"/>
            <w:tcBorders>
              <w:top w:val="nil"/>
              <w:left w:val="nil"/>
              <w:bottom w:val="nil"/>
              <w:right w:val="double" w:sz="6" w:space="0" w:color="auto"/>
            </w:tcBorders>
            <w:shd w:val="clear" w:color="auto" w:fill="auto"/>
            <w:noWrap/>
            <w:vAlign w:val="bottom"/>
            <w:hideMark/>
          </w:tcPr>
          <w:p w14:paraId="6C5C42D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102,40</w:t>
            </w:r>
          </w:p>
        </w:tc>
        <w:tc>
          <w:tcPr>
            <w:tcW w:w="1352" w:type="dxa"/>
            <w:tcBorders>
              <w:top w:val="nil"/>
              <w:left w:val="nil"/>
              <w:bottom w:val="nil"/>
              <w:right w:val="single" w:sz="4" w:space="0" w:color="auto"/>
            </w:tcBorders>
            <w:shd w:val="clear" w:color="auto" w:fill="auto"/>
            <w:noWrap/>
            <w:vAlign w:val="bottom"/>
            <w:hideMark/>
          </w:tcPr>
          <w:p w14:paraId="2A7D8C0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2,40</w:t>
            </w:r>
          </w:p>
        </w:tc>
        <w:tc>
          <w:tcPr>
            <w:tcW w:w="1238" w:type="dxa"/>
            <w:tcBorders>
              <w:top w:val="nil"/>
              <w:left w:val="nil"/>
              <w:bottom w:val="nil"/>
              <w:right w:val="double" w:sz="6" w:space="0" w:color="auto"/>
            </w:tcBorders>
            <w:shd w:val="clear" w:color="auto" w:fill="auto"/>
            <w:noWrap/>
            <w:vAlign w:val="bottom"/>
            <w:hideMark/>
          </w:tcPr>
          <w:p w14:paraId="2D70979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102,40</w:t>
            </w:r>
          </w:p>
        </w:tc>
      </w:tr>
      <w:tr w:rsidR="002F6D27" w:rsidRPr="002F6D27" w14:paraId="42154BD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0DCF1DC"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07372EE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-5,56</w:t>
            </w:r>
          </w:p>
        </w:tc>
        <w:tc>
          <w:tcPr>
            <w:tcW w:w="1238" w:type="dxa"/>
            <w:tcBorders>
              <w:top w:val="nil"/>
              <w:left w:val="nil"/>
              <w:bottom w:val="nil"/>
              <w:right w:val="double" w:sz="6" w:space="0" w:color="auto"/>
            </w:tcBorders>
            <w:shd w:val="clear" w:color="auto" w:fill="auto"/>
            <w:noWrap/>
            <w:vAlign w:val="bottom"/>
            <w:hideMark/>
          </w:tcPr>
          <w:p w14:paraId="6B0E632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96,71</w:t>
            </w:r>
          </w:p>
        </w:tc>
        <w:tc>
          <w:tcPr>
            <w:tcW w:w="1352" w:type="dxa"/>
            <w:tcBorders>
              <w:top w:val="nil"/>
              <w:left w:val="nil"/>
              <w:bottom w:val="nil"/>
              <w:right w:val="single" w:sz="4" w:space="0" w:color="auto"/>
            </w:tcBorders>
            <w:shd w:val="clear" w:color="auto" w:fill="auto"/>
            <w:noWrap/>
            <w:vAlign w:val="bottom"/>
            <w:hideMark/>
          </w:tcPr>
          <w:p w14:paraId="21FE9AD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-5,64</w:t>
            </w:r>
          </w:p>
        </w:tc>
        <w:tc>
          <w:tcPr>
            <w:tcW w:w="1238" w:type="dxa"/>
            <w:tcBorders>
              <w:top w:val="nil"/>
              <w:left w:val="nil"/>
              <w:bottom w:val="nil"/>
              <w:right w:val="double" w:sz="6" w:space="0" w:color="auto"/>
            </w:tcBorders>
            <w:shd w:val="clear" w:color="auto" w:fill="auto"/>
            <w:noWrap/>
            <w:vAlign w:val="bottom"/>
            <w:hideMark/>
          </w:tcPr>
          <w:p w14:paraId="3F873BF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96,62</w:t>
            </w:r>
          </w:p>
        </w:tc>
      </w:tr>
      <w:tr w:rsidR="002F6D27" w:rsidRPr="002F6D27" w14:paraId="470870D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60BB619"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2004</w:t>
            </w:r>
          </w:p>
        </w:tc>
        <w:tc>
          <w:tcPr>
            <w:tcW w:w="1352" w:type="dxa"/>
            <w:tcBorders>
              <w:top w:val="nil"/>
              <w:left w:val="nil"/>
              <w:bottom w:val="nil"/>
              <w:right w:val="single" w:sz="4" w:space="0" w:color="auto"/>
            </w:tcBorders>
            <w:shd w:val="clear" w:color="auto" w:fill="auto"/>
            <w:noWrap/>
            <w:vAlign w:val="bottom"/>
            <w:hideMark/>
          </w:tcPr>
          <w:p w14:paraId="4A55B6F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555A2D4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97,67</w:t>
            </w:r>
          </w:p>
        </w:tc>
        <w:tc>
          <w:tcPr>
            <w:tcW w:w="1352" w:type="dxa"/>
            <w:tcBorders>
              <w:top w:val="nil"/>
              <w:left w:val="nil"/>
              <w:bottom w:val="nil"/>
              <w:right w:val="single" w:sz="4" w:space="0" w:color="auto"/>
            </w:tcBorders>
            <w:shd w:val="clear" w:color="auto" w:fill="auto"/>
            <w:noWrap/>
            <w:vAlign w:val="bottom"/>
            <w:hideMark/>
          </w:tcPr>
          <w:p w14:paraId="7F87D20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18927E6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97,59</w:t>
            </w:r>
          </w:p>
        </w:tc>
      </w:tr>
      <w:tr w:rsidR="002F6D27" w:rsidRPr="002F6D27" w14:paraId="28D84EA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29DCC045"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14C8CF5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76C6FFE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98,65</w:t>
            </w:r>
          </w:p>
        </w:tc>
        <w:tc>
          <w:tcPr>
            <w:tcW w:w="1352" w:type="dxa"/>
            <w:tcBorders>
              <w:top w:val="nil"/>
              <w:left w:val="nil"/>
              <w:bottom w:val="nil"/>
              <w:right w:val="single" w:sz="4" w:space="0" w:color="auto"/>
            </w:tcBorders>
            <w:shd w:val="clear" w:color="auto" w:fill="auto"/>
            <w:noWrap/>
            <w:vAlign w:val="bottom"/>
            <w:hideMark/>
          </w:tcPr>
          <w:p w14:paraId="4B53AC0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63FAD55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98,57</w:t>
            </w:r>
          </w:p>
        </w:tc>
      </w:tr>
      <w:tr w:rsidR="002F6D27" w:rsidRPr="002F6D27" w14:paraId="32AE3C2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D4EAF98"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2005</w:t>
            </w:r>
          </w:p>
        </w:tc>
        <w:tc>
          <w:tcPr>
            <w:tcW w:w="1352" w:type="dxa"/>
            <w:tcBorders>
              <w:top w:val="nil"/>
              <w:left w:val="nil"/>
              <w:bottom w:val="nil"/>
              <w:right w:val="single" w:sz="4" w:space="0" w:color="auto"/>
            </w:tcBorders>
            <w:shd w:val="clear" w:color="auto" w:fill="auto"/>
            <w:noWrap/>
            <w:vAlign w:val="bottom"/>
            <w:hideMark/>
          </w:tcPr>
          <w:p w14:paraId="1EB319E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57F5C24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98,65</w:t>
            </w:r>
          </w:p>
        </w:tc>
        <w:tc>
          <w:tcPr>
            <w:tcW w:w="1352" w:type="dxa"/>
            <w:tcBorders>
              <w:top w:val="nil"/>
              <w:left w:val="nil"/>
              <w:bottom w:val="nil"/>
              <w:right w:val="single" w:sz="4" w:space="0" w:color="auto"/>
            </w:tcBorders>
            <w:shd w:val="clear" w:color="auto" w:fill="auto"/>
            <w:noWrap/>
            <w:vAlign w:val="bottom"/>
            <w:hideMark/>
          </w:tcPr>
          <w:p w14:paraId="0A2A23D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DACA12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98,57</w:t>
            </w:r>
          </w:p>
        </w:tc>
      </w:tr>
      <w:tr w:rsidR="002F6D27" w:rsidRPr="002F6D27" w14:paraId="2DBBF4B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146F48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2006</w:t>
            </w:r>
          </w:p>
        </w:tc>
        <w:tc>
          <w:tcPr>
            <w:tcW w:w="1352" w:type="dxa"/>
            <w:tcBorders>
              <w:top w:val="nil"/>
              <w:left w:val="nil"/>
              <w:bottom w:val="nil"/>
              <w:right w:val="single" w:sz="4" w:space="0" w:color="auto"/>
            </w:tcBorders>
            <w:shd w:val="clear" w:color="auto" w:fill="auto"/>
            <w:noWrap/>
            <w:vAlign w:val="bottom"/>
            <w:hideMark/>
          </w:tcPr>
          <w:p w14:paraId="7A2057C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5D5557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98,65</w:t>
            </w:r>
          </w:p>
        </w:tc>
        <w:tc>
          <w:tcPr>
            <w:tcW w:w="1352" w:type="dxa"/>
            <w:tcBorders>
              <w:top w:val="nil"/>
              <w:left w:val="nil"/>
              <w:bottom w:val="nil"/>
              <w:right w:val="single" w:sz="4" w:space="0" w:color="auto"/>
            </w:tcBorders>
            <w:shd w:val="clear" w:color="auto" w:fill="auto"/>
            <w:noWrap/>
            <w:vAlign w:val="bottom"/>
            <w:hideMark/>
          </w:tcPr>
          <w:p w14:paraId="243CE27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EC9C5F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98,57</w:t>
            </w:r>
          </w:p>
        </w:tc>
      </w:tr>
      <w:tr w:rsidR="002F6D27" w:rsidRPr="002F6D27" w14:paraId="4520D94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EA8BAFF"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2007</w:t>
            </w:r>
          </w:p>
        </w:tc>
        <w:tc>
          <w:tcPr>
            <w:tcW w:w="1352" w:type="dxa"/>
            <w:tcBorders>
              <w:top w:val="nil"/>
              <w:left w:val="nil"/>
              <w:bottom w:val="nil"/>
              <w:right w:val="single" w:sz="4" w:space="0" w:color="auto"/>
            </w:tcBorders>
            <w:shd w:val="clear" w:color="auto" w:fill="auto"/>
            <w:noWrap/>
            <w:vAlign w:val="bottom"/>
            <w:hideMark/>
          </w:tcPr>
          <w:p w14:paraId="4A1A954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8DE0AC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98,65</w:t>
            </w:r>
          </w:p>
        </w:tc>
        <w:tc>
          <w:tcPr>
            <w:tcW w:w="1352" w:type="dxa"/>
            <w:tcBorders>
              <w:top w:val="nil"/>
              <w:left w:val="nil"/>
              <w:bottom w:val="nil"/>
              <w:right w:val="single" w:sz="4" w:space="0" w:color="auto"/>
            </w:tcBorders>
            <w:shd w:val="clear" w:color="auto" w:fill="auto"/>
            <w:noWrap/>
            <w:vAlign w:val="bottom"/>
            <w:hideMark/>
          </w:tcPr>
          <w:p w14:paraId="794F63E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5B8945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98,57</w:t>
            </w:r>
          </w:p>
        </w:tc>
      </w:tr>
      <w:tr w:rsidR="002F6D27" w:rsidRPr="002F6D27" w14:paraId="552F07FE"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83D4241"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lastRenderedPageBreak/>
              <w:t>2008</w:t>
            </w:r>
          </w:p>
        </w:tc>
        <w:tc>
          <w:tcPr>
            <w:tcW w:w="1352" w:type="dxa"/>
            <w:tcBorders>
              <w:top w:val="nil"/>
              <w:left w:val="nil"/>
              <w:bottom w:val="nil"/>
              <w:right w:val="single" w:sz="4" w:space="0" w:color="auto"/>
            </w:tcBorders>
            <w:shd w:val="clear" w:color="auto" w:fill="auto"/>
            <w:noWrap/>
            <w:vAlign w:val="bottom"/>
            <w:hideMark/>
          </w:tcPr>
          <w:p w14:paraId="012384F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4AAFD66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99,13</w:t>
            </w:r>
          </w:p>
        </w:tc>
        <w:tc>
          <w:tcPr>
            <w:tcW w:w="1352" w:type="dxa"/>
            <w:tcBorders>
              <w:top w:val="nil"/>
              <w:left w:val="nil"/>
              <w:bottom w:val="nil"/>
              <w:right w:val="single" w:sz="4" w:space="0" w:color="auto"/>
            </w:tcBorders>
            <w:shd w:val="clear" w:color="auto" w:fill="auto"/>
            <w:noWrap/>
            <w:vAlign w:val="bottom"/>
            <w:hideMark/>
          </w:tcPr>
          <w:p w14:paraId="56C1513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51556C7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99,01</w:t>
            </w:r>
          </w:p>
        </w:tc>
      </w:tr>
      <w:tr w:rsidR="002F6D27" w:rsidRPr="002F6D27" w14:paraId="2A0A58A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852714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2009</w:t>
            </w:r>
          </w:p>
        </w:tc>
        <w:tc>
          <w:tcPr>
            <w:tcW w:w="1352" w:type="dxa"/>
            <w:tcBorders>
              <w:top w:val="nil"/>
              <w:left w:val="nil"/>
              <w:bottom w:val="nil"/>
              <w:right w:val="single" w:sz="4" w:space="0" w:color="auto"/>
            </w:tcBorders>
            <w:shd w:val="clear" w:color="auto" w:fill="auto"/>
            <w:noWrap/>
            <w:vAlign w:val="bottom"/>
            <w:hideMark/>
          </w:tcPr>
          <w:p w14:paraId="5DD111C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38A4D13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99,13</w:t>
            </w:r>
          </w:p>
        </w:tc>
        <w:tc>
          <w:tcPr>
            <w:tcW w:w="1352" w:type="dxa"/>
            <w:tcBorders>
              <w:top w:val="nil"/>
              <w:left w:val="nil"/>
              <w:bottom w:val="nil"/>
              <w:right w:val="single" w:sz="4" w:space="0" w:color="auto"/>
            </w:tcBorders>
            <w:shd w:val="clear" w:color="auto" w:fill="auto"/>
            <w:noWrap/>
            <w:vAlign w:val="bottom"/>
            <w:hideMark/>
          </w:tcPr>
          <w:p w14:paraId="25FB32D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30D9AE8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99,01</w:t>
            </w:r>
          </w:p>
        </w:tc>
      </w:tr>
      <w:tr w:rsidR="002F6D27" w:rsidRPr="002F6D27" w14:paraId="26CB245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9F6C03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2010</w:t>
            </w:r>
          </w:p>
        </w:tc>
        <w:tc>
          <w:tcPr>
            <w:tcW w:w="1352" w:type="dxa"/>
            <w:tcBorders>
              <w:top w:val="nil"/>
              <w:left w:val="nil"/>
              <w:bottom w:val="nil"/>
              <w:right w:val="single" w:sz="4" w:space="0" w:color="auto"/>
            </w:tcBorders>
            <w:shd w:val="clear" w:color="auto" w:fill="auto"/>
            <w:noWrap/>
            <w:vAlign w:val="bottom"/>
            <w:hideMark/>
          </w:tcPr>
          <w:p w14:paraId="3A3848B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1C4A1BF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98,65</w:t>
            </w:r>
          </w:p>
        </w:tc>
        <w:tc>
          <w:tcPr>
            <w:tcW w:w="1352" w:type="dxa"/>
            <w:tcBorders>
              <w:top w:val="nil"/>
              <w:left w:val="nil"/>
              <w:bottom w:val="nil"/>
              <w:right w:val="single" w:sz="4" w:space="0" w:color="auto"/>
            </w:tcBorders>
            <w:shd w:val="clear" w:color="auto" w:fill="auto"/>
            <w:noWrap/>
            <w:vAlign w:val="bottom"/>
            <w:hideMark/>
          </w:tcPr>
          <w:p w14:paraId="621FFF9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009D1F6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98,56</w:t>
            </w:r>
          </w:p>
        </w:tc>
      </w:tr>
      <w:tr w:rsidR="002F6D27" w:rsidRPr="002F6D27" w14:paraId="377D5F7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A3ECB1E"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3603203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30F8C0B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100,13</w:t>
            </w:r>
          </w:p>
        </w:tc>
        <w:tc>
          <w:tcPr>
            <w:tcW w:w="1352" w:type="dxa"/>
            <w:tcBorders>
              <w:top w:val="nil"/>
              <w:left w:val="nil"/>
              <w:bottom w:val="nil"/>
              <w:right w:val="single" w:sz="4" w:space="0" w:color="auto"/>
            </w:tcBorders>
            <w:shd w:val="clear" w:color="auto" w:fill="auto"/>
            <w:noWrap/>
            <w:vAlign w:val="bottom"/>
            <w:hideMark/>
          </w:tcPr>
          <w:p w14:paraId="52051BC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29081E4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100,04</w:t>
            </w:r>
          </w:p>
        </w:tc>
      </w:tr>
      <w:tr w:rsidR="002F6D27" w:rsidRPr="002F6D27" w14:paraId="59DA4AC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FC4D08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2011</w:t>
            </w:r>
          </w:p>
        </w:tc>
        <w:tc>
          <w:tcPr>
            <w:tcW w:w="1352" w:type="dxa"/>
            <w:tcBorders>
              <w:top w:val="nil"/>
              <w:left w:val="nil"/>
              <w:bottom w:val="nil"/>
              <w:right w:val="single" w:sz="4" w:space="0" w:color="auto"/>
            </w:tcBorders>
            <w:shd w:val="clear" w:color="auto" w:fill="auto"/>
            <w:noWrap/>
            <w:vAlign w:val="bottom"/>
            <w:hideMark/>
          </w:tcPr>
          <w:p w14:paraId="1C813CB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2,33</w:t>
            </w:r>
          </w:p>
        </w:tc>
        <w:tc>
          <w:tcPr>
            <w:tcW w:w="1238" w:type="dxa"/>
            <w:tcBorders>
              <w:top w:val="nil"/>
              <w:left w:val="nil"/>
              <w:bottom w:val="nil"/>
              <w:right w:val="double" w:sz="6" w:space="0" w:color="auto"/>
            </w:tcBorders>
            <w:shd w:val="clear" w:color="auto" w:fill="auto"/>
            <w:noWrap/>
            <w:vAlign w:val="bottom"/>
            <w:hideMark/>
          </w:tcPr>
          <w:p w14:paraId="2501FDC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102,46</w:t>
            </w:r>
          </w:p>
        </w:tc>
        <w:tc>
          <w:tcPr>
            <w:tcW w:w="1352" w:type="dxa"/>
            <w:tcBorders>
              <w:top w:val="nil"/>
              <w:left w:val="nil"/>
              <w:bottom w:val="nil"/>
              <w:right w:val="single" w:sz="4" w:space="0" w:color="auto"/>
            </w:tcBorders>
            <w:shd w:val="clear" w:color="auto" w:fill="auto"/>
            <w:noWrap/>
            <w:vAlign w:val="bottom"/>
            <w:hideMark/>
          </w:tcPr>
          <w:p w14:paraId="5870E2C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2,30</w:t>
            </w:r>
          </w:p>
        </w:tc>
        <w:tc>
          <w:tcPr>
            <w:tcW w:w="1238" w:type="dxa"/>
            <w:tcBorders>
              <w:top w:val="nil"/>
              <w:left w:val="nil"/>
              <w:bottom w:val="nil"/>
              <w:right w:val="double" w:sz="6" w:space="0" w:color="auto"/>
            </w:tcBorders>
            <w:shd w:val="clear" w:color="auto" w:fill="auto"/>
            <w:noWrap/>
            <w:vAlign w:val="bottom"/>
            <w:hideMark/>
          </w:tcPr>
          <w:p w14:paraId="7DB9BED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102,34</w:t>
            </w:r>
          </w:p>
        </w:tc>
      </w:tr>
      <w:tr w:rsidR="002F6D27" w:rsidRPr="002F6D27" w14:paraId="22E3DAA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267412C2"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2012</w:t>
            </w:r>
          </w:p>
        </w:tc>
        <w:tc>
          <w:tcPr>
            <w:tcW w:w="1352" w:type="dxa"/>
            <w:tcBorders>
              <w:top w:val="nil"/>
              <w:left w:val="nil"/>
              <w:bottom w:val="nil"/>
              <w:right w:val="single" w:sz="4" w:space="0" w:color="auto"/>
            </w:tcBorders>
            <w:shd w:val="clear" w:color="auto" w:fill="auto"/>
            <w:noWrap/>
            <w:vAlign w:val="bottom"/>
            <w:hideMark/>
          </w:tcPr>
          <w:p w14:paraId="4E005B1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7EB4620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104,51</w:t>
            </w:r>
          </w:p>
        </w:tc>
        <w:tc>
          <w:tcPr>
            <w:tcW w:w="1352" w:type="dxa"/>
            <w:tcBorders>
              <w:top w:val="nil"/>
              <w:left w:val="nil"/>
              <w:bottom w:val="nil"/>
              <w:right w:val="single" w:sz="4" w:space="0" w:color="auto"/>
            </w:tcBorders>
            <w:shd w:val="clear" w:color="auto" w:fill="auto"/>
            <w:noWrap/>
            <w:vAlign w:val="bottom"/>
            <w:hideMark/>
          </w:tcPr>
          <w:p w14:paraId="6922192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5C2C19B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104,39</w:t>
            </w:r>
          </w:p>
        </w:tc>
      </w:tr>
      <w:tr w:rsidR="002F6D27" w:rsidRPr="002F6D27" w14:paraId="728AD9AC"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A46EEB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2013</w:t>
            </w:r>
          </w:p>
        </w:tc>
        <w:tc>
          <w:tcPr>
            <w:tcW w:w="1352" w:type="dxa"/>
            <w:tcBorders>
              <w:top w:val="nil"/>
              <w:left w:val="nil"/>
              <w:bottom w:val="nil"/>
              <w:right w:val="single" w:sz="4" w:space="0" w:color="auto"/>
            </w:tcBorders>
            <w:shd w:val="clear" w:color="auto" w:fill="auto"/>
            <w:noWrap/>
            <w:vAlign w:val="bottom"/>
            <w:hideMark/>
          </w:tcPr>
          <w:p w14:paraId="2E418E7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24045CB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106,60</w:t>
            </w:r>
          </w:p>
        </w:tc>
        <w:tc>
          <w:tcPr>
            <w:tcW w:w="1352" w:type="dxa"/>
            <w:tcBorders>
              <w:top w:val="nil"/>
              <w:left w:val="nil"/>
              <w:bottom w:val="nil"/>
              <w:right w:val="single" w:sz="4" w:space="0" w:color="auto"/>
            </w:tcBorders>
            <w:shd w:val="clear" w:color="auto" w:fill="auto"/>
            <w:noWrap/>
            <w:vAlign w:val="bottom"/>
            <w:hideMark/>
          </w:tcPr>
          <w:p w14:paraId="5665329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0351C1F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106,48</w:t>
            </w:r>
          </w:p>
        </w:tc>
      </w:tr>
      <w:tr w:rsidR="002F6D27" w:rsidRPr="002F6D27" w14:paraId="2F22E2F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3CD9D7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2014</w:t>
            </w:r>
          </w:p>
        </w:tc>
        <w:tc>
          <w:tcPr>
            <w:tcW w:w="1352" w:type="dxa"/>
            <w:tcBorders>
              <w:top w:val="nil"/>
              <w:left w:val="nil"/>
              <w:bottom w:val="nil"/>
              <w:right w:val="single" w:sz="4" w:space="0" w:color="auto"/>
            </w:tcBorders>
            <w:shd w:val="clear" w:color="auto" w:fill="auto"/>
            <w:noWrap/>
            <w:vAlign w:val="bottom"/>
            <w:hideMark/>
          </w:tcPr>
          <w:p w14:paraId="121F948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60911FB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109,80</w:t>
            </w:r>
          </w:p>
        </w:tc>
        <w:tc>
          <w:tcPr>
            <w:tcW w:w="1352" w:type="dxa"/>
            <w:tcBorders>
              <w:top w:val="nil"/>
              <w:left w:val="nil"/>
              <w:bottom w:val="nil"/>
              <w:right w:val="single" w:sz="4" w:space="0" w:color="auto"/>
            </w:tcBorders>
            <w:shd w:val="clear" w:color="auto" w:fill="auto"/>
            <w:noWrap/>
            <w:vAlign w:val="bottom"/>
            <w:hideMark/>
          </w:tcPr>
          <w:p w14:paraId="3A7B475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266C987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109,67</w:t>
            </w:r>
          </w:p>
        </w:tc>
      </w:tr>
      <w:tr w:rsidR="002F6D27" w:rsidRPr="002F6D27" w14:paraId="1CBEC04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86A7C6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2015</w:t>
            </w:r>
          </w:p>
        </w:tc>
        <w:tc>
          <w:tcPr>
            <w:tcW w:w="1352" w:type="dxa"/>
            <w:tcBorders>
              <w:top w:val="nil"/>
              <w:left w:val="nil"/>
              <w:bottom w:val="nil"/>
              <w:right w:val="single" w:sz="4" w:space="0" w:color="auto"/>
            </w:tcBorders>
            <w:shd w:val="clear" w:color="auto" w:fill="auto"/>
            <w:noWrap/>
            <w:vAlign w:val="bottom"/>
            <w:hideMark/>
          </w:tcPr>
          <w:p w14:paraId="5833E86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5A6818A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113,09</w:t>
            </w:r>
          </w:p>
        </w:tc>
        <w:tc>
          <w:tcPr>
            <w:tcW w:w="1352" w:type="dxa"/>
            <w:tcBorders>
              <w:top w:val="nil"/>
              <w:left w:val="nil"/>
              <w:bottom w:val="nil"/>
              <w:right w:val="single" w:sz="4" w:space="0" w:color="auto"/>
            </w:tcBorders>
            <w:shd w:val="clear" w:color="auto" w:fill="auto"/>
            <w:noWrap/>
            <w:vAlign w:val="bottom"/>
            <w:hideMark/>
          </w:tcPr>
          <w:p w14:paraId="668698F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54A6C41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112,96</w:t>
            </w:r>
          </w:p>
        </w:tc>
      </w:tr>
      <w:tr w:rsidR="002F6D27" w:rsidRPr="002F6D27" w14:paraId="4EC0A0D7"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CE3A75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2016</w:t>
            </w:r>
          </w:p>
        </w:tc>
        <w:tc>
          <w:tcPr>
            <w:tcW w:w="1352" w:type="dxa"/>
            <w:tcBorders>
              <w:top w:val="nil"/>
              <w:left w:val="nil"/>
              <w:bottom w:val="nil"/>
              <w:right w:val="single" w:sz="4" w:space="0" w:color="auto"/>
            </w:tcBorders>
            <w:shd w:val="clear" w:color="auto" w:fill="auto"/>
            <w:noWrap/>
            <w:vAlign w:val="bottom"/>
            <w:hideMark/>
          </w:tcPr>
          <w:p w14:paraId="24982B0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7CB82EC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116,26</w:t>
            </w:r>
          </w:p>
        </w:tc>
        <w:tc>
          <w:tcPr>
            <w:tcW w:w="1352" w:type="dxa"/>
            <w:tcBorders>
              <w:top w:val="nil"/>
              <w:left w:val="nil"/>
              <w:bottom w:val="nil"/>
              <w:right w:val="single" w:sz="4" w:space="0" w:color="auto"/>
            </w:tcBorders>
            <w:shd w:val="clear" w:color="auto" w:fill="auto"/>
            <w:noWrap/>
            <w:vAlign w:val="bottom"/>
            <w:hideMark/>
          </w:tcPr>
          <w:p w14:paraId="40E80DD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2168DBB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116,13</w:t>
            </w:r>
          </w:p>
        </w:tc>
      </w:tr>
      <w:tr w:rsidR="002F6D27" w:rsidRPr="002F6D27" w14:paraId="20FD0119"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EE730E5"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2017</w:t>
            </w:r>
          </w:p>
        </w:tc>
        <w:tc>
          <w:tcPr>
            <w:tcW w:w="1352" w:type="dxa"/>
            <w:tcBorders>
              <w:top w:val="nil"/>
              <w:left w:val="nil"/>
              <w:bottom w:val="nil"/>
              <w:right w:val="single" w:sz="4" w:space="0" w:color="auto"/>
            </w:tcBorders>
            <w:shd w:val="clear" w:color="auto" w:fill="auto"/>
            <w:noWrap/>
            <w:vAlign w:val="bottom"/>
            <w:hideMark/>
          </w:tcPr>
          <w:p w14:paraId="164BA46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6EEEA36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119,28</w:t>
            </w:r>
          </w:p>
        </w:tc>
        <w:tc>
          <w:tcPr>
            <w:tcW w:w="1352" w:type="dxa"/>
            <w:tcBorders>
              <w:top w:val="nil"/>
              <w:left w:val="nil"/>
              <w:bottom w:val="nil"/>
              <w:right w:val="single" w:sz="4" w:space="0" w:color="auto"/>
            </w:tcBorders>
            <w:shd w:val="clear" w:color="auto" w:fill="auto"/>
            <w:noWrap/>
            <w:vAlign w:val="bottom"/>
            <w:hideMark/>
          </w:tcPr>
          <w:p w14:paraId="53FFE27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1AA0AC4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119,15</w:t>
            </w:r>
          </w:p>
        </w:tc>
      </w:tr>
      <w:tr w:rsidR="002F6D27" w:rsidRPr="002F6D27" w14:paraId="44C05FBC"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251FDA8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520E1FB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0,22</w:t>
            </w:r>
          </w:p>
        </w:tc>
        <w:tc>
          <w:tcPr>
            <w:tcW w:w="1238" w:type="dxa"/>
            <w:tcBorders>
              <w:top w:val="nil"/>
              <w:left w:val="nil"/>
              <w:bottom w:val="nil"/>
              <w:right w:val="double" w:sz="6" w:space="0" w:color="auto"/>
            </w:tcBorders>
            <w:shd w:val="clear" w:color="auto" w:fill="auto"/>
            <w:noWrap/>
            <w:vAlign w:val="bottom"/>
            <w:hideMark/>
          </w:tcPr>
          <w:p w14:paraId="02E47B3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119,54</w:t>
            </w:r>
          </w:p>
        </w:tc>
        <w:tc>
          <w:tcPr>
            <w:tcW w:w="1352" w:type="dxa"/>
            <w:tcBorders>
              <w:top w:val="nil"/>
              <w:left w:val="nil"/>
              <w:bottom w:val="nil"/>
              <w:right w:val="single" w:sz="4" w:space="0" w:color="auto"/>
            </w:tcBorders>
            <w:shd w:val="clear" w:color="auto" w:fill="auto"/>
            <w:noWrap/>
            <w:vAlign w:val="bottom"/>
            <w:hideMark/>
          </w:tcPr>
          <w:p w14:paraId="1256BF0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0,19</w:t>
            </w:r>
          </w:p>
        </w:tc>
        <w:tc>
          <w:tcPr>
            <w:tcW w:w="1238" w:type="dxa"/>
            <w:tcBorders>
              <w:top w:val="nil"/>
              <w:left w:val="nil"/>
              <w:bottom w:val="nil"/>
              <w:right w:val="double" w:sz="6" w:space="0" w:color="auto"/>
            </w:tcBorders>
            <w:shd w:val="clear" w:color="auto" w:fill="auto"/>
            <w:noWrap/>
            <w:vAlign w:val="bottom"/>
            <w:hideMark/>
          </w:tcPr>
          <w:p w14:paraId="24EA1F5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119,37</w:t>
            </w:r>
          </w:p>
        </w:tc>
      </w:tr>
      <w:tr w:rsidR="002F6D27" w:rsidRPr="002F6D27" w14:paraId="1832AFA2" w14:textId="77777777" w:rsidTr="002F6D27">
        <w:trPr>
          <w:trHeight w:val="276"/>
        </w:trPr>
        <w:tc>
          <w:tcPr>
            <w:tcW w:w="1240" w:type="dxa"/>
            <w:tcBorders>
              <w:top w:val="single" w:sz="8" w:space="0" w:color="auto"/>
              <w:left w:val="double" w:sz="6" w:space="0" w:color="auto"/>
              <w:bottom w:val="double" w:sz="6" w:space="0" w:color="auto"/>
              <w:right w:val="double" w:sz="6" w:space="0" w:color="auto"/>
            </w:tcBorders>
            <w:shd w:val="clear" w:color="auto" w:fill="auto"/>
            <w:noWrap/>
            <w:vAlign w:val="bottom"/>
            <w:hideMark/>
          </w:tcPr>
          <w:p w14:paraId="23258C0F"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727AF057"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71633216"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19,54</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05857932"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6C8728BC"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19,37</w:t>
            </w:r>
          </w:p>
        </w:tc>
      </w:tr>
    </w:tbl>
    <w:p w14:paraId="682EE1D8" w14:textId="699B0950" w:rsidR="002F6D27" w:rsidRDefault="002F6D27" w:rsidP="00503386">
      <w:pPr>
        <w:overflowPunct/>
        <w:spacing w:line="276" w:lineRule="auto"/>
        <w:ind w:left="2832"/>
        <w:textAlignment w:val="auto"/>
        <w:rPr>
          <w:rFonts w:ascii="Arial" w:eastAsia="Calibri" w:hAnsi="Arial" w:cs="Arial"/>
          <w:sz w:val="24"/>
          <w:szCs w:val="24"/>
          <w:lang w:eastAsia="en-US"/>
        </w:rPr>
      </w:pPr>
    </w:p>
    <w:p w14:paraId="03EE2824" w14:textId="4BD9E341" w:rsidR="008F0412" w:rsidRDefault="008F0412" w:rsidP="00503386">
      <w:pPr>
        <w:overflowPunct/>
        <w:spacing w:line="276" w:lineRule="auto"/>
        <w:jc w:val="both"/>
        <w:textAlignment w:val="auto"/>
        <w:rPr>
          <w:rFonts w:ascii="Arial" w:eastAsia="Calibri" w:hAnsi="Arial" w:cs="Arial"/>
          <w:sz w:val="24"/>
          <w:szCs w:val="24"/>
          <w:lang w:eastAsia="en-US"/>
        </w:rPr>
      </w:pPr>
      <w:r w:rsidRPr="008F0412">
        <w:rPr>
          <w:rFonts w:ascii="Arial" w:eastAsia="Calibri" w:hAnsi="Arial" w:cs="Arial"/>
          <w:sz w:val="24"/>
          <w:szCs w:val="24"/>
          <w:lang w:eastAsia="en-US"/>
        </w:rPr>
        <w:t>(</w:t>
      </w:r>
      <w:r>
        <w:rPr>
          <w:rFonts w:ascii="Arial" w:eastAsia="Calibri" w:hAnsi="Arial" w:cs="Arial"/>
          <w:sz w:val="24"/>
          <w:szCs w:val="24"/>
          <w:lang w:eastAsia="en-US"/>
        </w:rPr>
        <w:t>3</w:t>
      </w:r>
      <w:r w:rsidRPr="008F0412">
        <w:rPr>
          <w:rFonts w:ascii="Arial" w:eastAsia="Calibri" w:hAnsi="Arial" w:cs="Arial"/>
          <w:sz w:val="24"/>
          <w:szCs w:val="24"/>
          <w:lang w:eastAsia="en-US"/>
        </w:rPr>
        <w:t>) Im Zeitraum 200</w:t>
      </w:r>
      <w:r>
        <w:rPr>
          <w:rFonts w:ascii="Arial" w:eastAsia="Calibri" w:hAnsi="Arial" w:cs="Arial"/>
          <w:sz w:val="24"/>
          <w:szCs w:val="24"/>
          <w:lang w:eastAsia="en-US"/>
        </w:rPr>
        <w:t>3</w:t>
      </w:r>
      <w:r w:rsidRPr="008F0412">
        <w:rPr>
          <w:rFonts w:ascii="Arial" w:eastAsia="Calibri" w:hAnsi="Arial" w:cs="Arial"/>
          <w:sz w:val="24"/>
          <w:szCs w:val="24"/>
          <w:lang w:eastAsia="en-US"/>
        </w:rPr>
        <w:t xml:space="preserve"> bis 201</w:t>
      </w:r>
      <w:r>
        <w:rPr>
          <w:rFonts w:ascii="Arial" w:eastAsia="Calibri" w:hAnsi="Arial" w:cs="Arial"/>
          <w:sz w:val="24"/>
          <w:szCs w:val="24"/>
          <w:lang w:eastAsia="en-US"/>
        </w:rPr>
        <w:t>8</w:t>
      </w:r>
      <w:r w:rsidRPr="008F0412">
        <w:rPr>
          <w:rFonts w:ascii="Arial" w:eastAsia="Calibri" w:hAnsi="Arial" w:cs="Arial"/>
          <w:sz w:val="24"/>
          <w:szCs w:val="24"/>
          <w:lang w:eastAsia="en-US"/>
        </w:rPr>
        <w:t xml:space="preserve"> stieg die Besoldung der Besoldungsgruppe R</w:t>
      </w:r>
      <w:r w:rsidR="002A3910">
        <w:rPr>
          <w:rFonts w:ascii="Arial" w:eastAsia="Calibri" w:hAnsi="Arial" w:cs="Arial"/>
          <w:sz w:val="24"/>
          <w:szCs w:val="24"/>
          <w:lang w:eastAsia="en-US"/>
        </w:rPr>
        <w:t xml:space="preserve"> </w:t>
      </w:r>
      <w:r w:rsidRPr="008F0412">
        <w:rPr>
          <w:rFonts w:ascii="Arial" w:eastAsia="Calibri" w:hAnsi="Arial" w:cs="Arial"/>
          <w:sz w:val="24"/>
          <w:szCs w:val="24"/>
          <w:lang w:eastAsia="en-US"/>
        </w:rPr>
        <w:t xml:space="preserve">1 um </w:t>
      </w:r>
      <w:r w:rsidR="00D7474E">
        <w:rPr>
          <w:rFonts w:ascii="Arial" w:eastAsia="Calibri" w:hAnsi="Arial" w:cs="Arial"/>
          <w:sz w:val="24"/>
          <w:szCs w:val="24"/>
          <w:lang w:eastAsia="en-US"/>
        </w:rPr>
        <w:t>27</w:t>
      </w:r>
      <w:r w:rsidR="00D7474E" w:rsidRPr="000829E2">
        <w:rPr>
          <w:rFonts w:ascii="Arial" w:eastAsia="Calibri" w:hAnsi="Arial" w:cs="Arial"/>
          <w:sz w:val="24"/>
          <w:szCs w:val="24"/>
          <w:lang w:eastAsia="en-US"/>
        </w:rPr>
        <w:t>,</w:t>
      </w:r>
      <w:r w:rsidR="002F6D27">
        <w:rPr>
          <w:rFonts w:ascii="Arial" w:eastAsia="Calibri" w:hAnsi="Arial" w:cs="Arial"/>
          <w:sz w:val="24"/>
          <w:szCs w:val="24"/>
          <w:lang w:eastAsia="en-US"/>
        </w:rPr>
        <w:t>74</w:t>
      </w:r>
      <w:r w:rsidRPr="000829E2">
        <w:rPr>
          <w:rFonts w:ascii="Arial" w:eastAsia="Calibri" w:hAnsi="Arial" w:cs="Arial"/>
          <w:sz w:val="24"/>
          <w:szCs w:val="24"/>
          <w:lang w:eastAsia="en-US"/>
        </w:rPr>
        <w:t xml:space="preserve"> % </w:t>
      </w:r>
      <w:bookmarkStart w:id="14" w:name="_Hlk89179796"/>
      <w:r w:rsidR="005855E3" w:rsidRPr="005855E3">
        <w:rPr>
          <w:rFonts w:ascii="Arial" w:eastAsia="Calibri" w:hAnsi="Arial" w:cs="Arial"/>
          <w:sz w:val="24"/>
          <w:szCs w:val="24"/>
          <w:lang w:eastAsia="en-US"/>
        </w:rPr>
        <w:t xml:space="preserve">und diejenige der Besoldungsgruppe R 2 um </w:t>
      </w:r>
      <w:r w:rsidR="005855E3">
        <w:rPr>
          <w:rFonts w:ascii="Arial" w:eastAsia="Calibri" w:hAnsi="Arial" w:cs="Arial"/>
          <w:sz w:val="24"/>
          <w:szCs w:val="24"/>
          <w:lang w:eastAsia="en-US"/>
        </w:rPr>
        <w:t>27,</w:t>
      </w:r>
      <w:r w:rsidR="002F6D27">
        <w:rPr>
          <w:rFonts w:ascii="Arial" w:eastAsia="Calibri" w:hAnsi="Arial" w:cs="Arial"/>
          <w:sz w:val="24"/>
          <w:szCs w:val="24"/>
          <w:lang w:eastAsia="en-US"/>
        </w:rPr>
        <w:t>65</w:t>
      </w:r>
      <w:r w:rsidR="005855E3" w:rsidRPr="005855E3">
        <w:rPr>
          <w:rFonts w:ascii="Arial" w:eastAsia="Calibri" w:hAnsi="Arial" w:cs="Arial"/>
          <w:sz w:val="24"/>
          <w:szCs w:val="24"/>
          <w:lang w:eastAsia="en-US"/>
        </w:rPr>
        <w:t xml:space="preserve"> %.</w:t>
      </w:r>
    </w:p>
    <w:p w14:paraId="461EC301" w14:textId="2468F476" w:rsidR="002F6D27" w:rsidRDefault="002F6D27" w:rsidP="00503386">
      <w:pPr>
        <w:overflowPunct/>
        <w:spacing w:line="276" w:lineRule="auto"/>
        <w:ind w:left="708"/>
        <w:textAlignment w:val="auto"/>
        <w:rPr>
          <w:rFonts w:ascii="Arial" w:eastAsia="Calibri" w:hAnsi="Arial" w:cs="Arial"/>
          <w:sz w:val="24"/>
          <w:szCs w:val="24"/>
          <w:lang w:eastAsia="en-US"/>
        </w:rPr>
      </w:pPr>
    </w:p>
    <w:tbl>
      <w:tblPr>
        <w:tblW w:w="6420" w:type="dxa"/>
        <w:tblInd w:w="801" w:type="dxa"/>
        <w:tblCellMar>
          <w:left w:w="70" w:type="dxa"/>
          <w:right w:w="70" w:type="dxa"/>
        </w:tblCellMar>
        <w:tblLook w:val="04A0" w:firstRow="1" w:lastRow="0" w:firstColumn="1" w:lastColumn="0" w:noHBand="0" w:noVBand="1"/>
      </w:tblPr>
      <w:tblGrid>
        <w:gridCol w:w="1240"/>
        <w:gridCol w:w="1352"/>
        <w:gridCol w:w="1238"/>
        <w:gridCol w:w="1352"/>
        <w:gridCol w:w="1238"/>
      </w:tblGrid>
      <w:tr w:rsidR="002F6D27" w:rsidRPr="002F6D27" w14:paraId="70CBE6DC" w14:textId="77777777" w:rsidTr="002F6D27">
        <w:trPr>
          <w:trHeight w:val="288"/>
        </w:trPr>
        <w:tc>
          <w:tcPr>
            <w:tcW w:w="124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7AA087B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7B840CA3"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R1</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13E5C539"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R2</w:t>
            </w:r>
          </w:p>
        </w:tc>
      </w:tr>
      <w:tr w:rsidR="002F6D27" w:rsidRPr="002F6D27" w14:paraId="36E7272A" w14:textId="77777777" w:rsidTr="002F6D27">
        <w:trPr>
          <w:trHeight w:val="540"/>
        </w:trPr>
        <w:tc>
          <w:tcPr>
            <w:tcW w:w="1240" w:type="dxa"/>
            <w:tcBorders>
              <w:top w:val="nil"/>
              <w:left w:val="double" w:sz="6" w:space="0" w:color="auto"/>
              <w:bottom w:val="double" w:sz="6" w:space="0" w:color="auto"/>
              <w:right w:val="double" w:sz="6" w:space="0" w:color="auto"/>
            </w:tcBorders>
            <w:shd w:val="clear" w:color="auto" w:fill="auto"/>
            <w:noWrap/>
            <w:vAlign w:val="center"/>
            <w:hideMark/>
          </w:tcPr>
          <w:p w14:paraId="596466E1"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 </w:t>
            </w:r>
          </w:p>
        </w:tc>
        <w:tc>
          <w:tcPr>
            <w:tcW w:w="1352" w:type="dxa"/>
            <w:tcBorders>
              <w:top w:val="nil"/>
              <w:left w:val="nil"/>
              <w:bottom w:val="double" w:sz="6" w:space="0" w:color="auto"/>
              <w:right w:val="single" w:sz="4" w:space="0" w:color="auto"/>
            </w:tcBorders>
            <w:shd w:val="clear" w:color="auto" w:fill="auto"/>
            <w:vAlign w:val="center"/>
            <w:hideMark/>
          </w:tcPr>
          <w:p w14:paraId="7BCBA15F"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4DFABF55"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c>
          <w:tcPr>
            <w:tcW w:w="1352" w:type="dxa"/>
            <w:tcBorders>
              <w:top w:val="nil"/>
              <w:left w:val="nil"/>
              <w:bottom w:val="double" w:sz="6" w:space="0" w:color="auto"/>
              <w:right w:val="single" w:sz="4" w:space="0" w:color="auto"/>
            </w:tcBorders>
            <w:shd w:val="clear" w:color="auto" w:fill="auto"/>
            <w:vAlign w:val="center"/>
            <w:hideMark/>
          </w:tcPr>
          <w:p w14:paraId="278B099B"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1BFC3E1A"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r>
      <w:tr w:rsidR="002F6D27" w:rsidRPr="002F6D27" w14:paraId="550E3E27"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5CD6472E"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2003</w:t>
            </w:r>
          </w:p>
        </w:tc>
        <w:tc>
          <w:tcPr>
            <w:tcW w:w="1352" w:type="dxa"/>
            <w:tcBorders>
              <w:top w:val="nil"/>
              <w:left w:val="nil"/>
              <w:bottom w:val="nil"/>
              <w:right w:val="single" w:sz="4" w:space="0" w:color="auto"/>
            </w:tcBorders>
            <w:shd w:val="clear" w:color="auto" w:fill="auto"/>
            <w:noWrap/>
            <w:vAlign w:val="bottom"/>
            <w:hideMark/>
          </w:tcPr>
          <w:p w14:paraId="23759025"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7027AC8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3D120BF6"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7861A54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34D7D235"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E73423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2004</w:t>
            </w:r>
          </w:p>
        </w:tc>
        <w:tc>
          <w:tcPr>
            <w:tcW w:w="1352" w:type="dxa"/>
            <w:tcBorders>
              <w:top w:val="nil"/>
              <w:left w:val="nil"/>
              <w:bottom w:val="nil"/>
              <w:right w:val="single" w:sz="4" w:space="0" w:color="auto"/>
            </w:tcBorders>
            <w:shd w:val="clear" w:color="auto" w:fill="auto"/>
            <w:noWrap/>
            <w:vAlign w:val="bottom"/>
            <w:hideMark/>
          </w:tcPr>
          <w:p w14:paraId="46BF64C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378B419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101,00</w:t>
            </w:r>
          </w:p>
        </w:tc>
        <w:tc>
          <w:tcPr>
            <w:tcW w:w="1352" w:type="dxa"/>
            <w:tcBorders>
              <w:top w:val="nil"/>
              <w:left w:val="nil"/>
              <w:bottom w:val="nil"/>
              <w:right w:val="single" w:sz="4" w:space="0" w:color="auto"/>
            </w:tcBorders>
            <w:shd w:val="clear" w:color="auto" w:fill="auto"/>
            <w:noWrap/>
            <w:vAlign w:val="bottom"/>
            <w:hideMark/>
          </w:tcPr>
          <w:p w14:paraId="745F7F3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0EA0408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101,00</w:t>
            </w:r>
          </w:p>
        </w:tc>
      </w:tr>
      <w:tr w:rsidR="002F6D27" w:rsidRPr="002F6D27" w14:paraId="4DFAC4D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6A81551"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0946AB0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771B126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c>
          <w:tcPr>
            <w:tcW w:w="1352" w:type="dxa"/>
            <w:tcBorders>
              <w:top w:val="nil"/>
              <w:left w:val="nil"/>
              <w:bottom w:val="nil"/>
              <w:right w:val="single" w:sz="4" w:space="0" w:color="auto"/>
            </w:tcBorders>
            <w:shd w:val="clear" w:color="auto" w:fill="auto"/>
            <w:noWrap/>
            <w:vAlign w:val="bottom"/>
            <w:hideMark/>
          </w:tcPr>
          <w:p w14:paraId="649D55A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w:t>
            </w:r>
          </w:p>
        </w:tc>
        <w:tc>
          <w:tcPr>
            <w:tcW w:w="1238" w:type="dxa"/>
            <w:tcBorders>
              <w:top w:val="nil"/>
              <w:left w:val="nil"/>
              <w:bottom w:val="nil"/>
              <w:right w:val="double" w:sz="6" w:space="0" w:color="auto"/>
            </w:tcBorders>
            <w:shd w:val="clear" w:color="auto" w:fill="auto"/>
            <w:noWrap/>
            <w:vAlign w:val="bottom"/>
            <w:hideMark/>
          </w:tcPr>
          <w:p w14:paraId="02ECB57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r>
      <w:tr w:rsidR="002F6D27" w:rsidRPr="002F6D27" w14:paraId="0D3FCEF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285D41F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2005</w:t>
            </w:r>
          </w:p>
        </w:tc>
        <w:tc>
          <w:tcPr>
            <w:tcW w:w="1352" w:type="dxa"/>
            <w:tcBorders>
              <w:top w:val="nil"/>
              <w:left w:val="nil"/>
              <w:bottom w:val="nil"/>
              <w:right w:val="single" w:sz="4" w:space="0" w:color="auto"/>
            </w:tcBorders>
            <w:shd w:val="clear" w:color="auto" w:fill="auto"/>
            <w:noWrap/>
            <w:vAlign w:val="bottom"/>
            <w:hideMark/>
          </w:tcPr>
          <w:p w14:paraId="1CB7BE5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500E499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c>
          <w:tcPr>
            <w:tcW w:w="1352" w:type="dxa"/>
            <w:tcBorders>
              <w:top w:val="nil"/>
              <w:left w:val="nil"/>
              <w:bottom w:val="nil"/>
              <w:right w:val="single" w:sz="4" w:space="0" w:color="auto"/>
            </w:tcBorders>
            <w:shd w:val="clear" w:color="auto" w:fill="auto"/>
            <w:noWrap/>
            <w:vAlign w:val="bottom"/>
            <w:hideMark/>
          </w:tcPr>
          <w:p w14:paraId="4F29862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70CB31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r>
      <w:tr w:rsidR="002F6D27" w:rsidRPr="002F6D27" w14:paraId="3D7CC74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3F4213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2006</w:t>
            </w:r>
          </w:p>
        </w:tc>
        <w:tc>
          <w:tcPr>
            <w:tcW w:w="1352" w:type="dxa"/>
            <w:tcBorders>
              <w:top w:val="nil"/>
              <w:left w:val="nil"/>
              <w:bottom w:val="nil"/>
              <w:right w:val="single" w:sz="4" w:space="0" w:color="auto"/>
            </w:tcBorders>
            <w:shd w:val="clear" w:color="auto" w:fill="auto"/>
            <w:noWrap/>
            <w:vAlign w:val="bottom"/>
            <w:hideMark/>
          </w:tcPr>
          <w:p w14:paraId="27AA1C8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4147A8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c>
          <w:tcPr>
            <w:tcW w:w="1352" w:type="dxa"/>
            <w:tcBorders>
              <w:top w:val="nil"/>
              <w:left w:val="nil"/>
              <w:bottom w:val="nil"/>
              <w:right w:val="single" w:sz="4" w:space="0" w:color="auto"/>
            </w:tcBorders>
            <w:shd w:val="clear" w:color="auto" w:fill="auto"/>
            <w:noWrap/>
            <w:vAlign w:val="bottom"/>
            <w:hideMark/>
          </w:tcPr>
          <w:p w14:paraId="60AE261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13F873B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r>
      <w:tr w:rsidR="002F6D27" w:rsidRPr="002F6D27" w14:paraId="0DD844D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6F65379"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2007</w:t>
            </w:r>
          </w:p>
        </w:tc>
        <w:tc>
          <w:tcPr>
            <w:tcW w:w="1352" w:type="dxa"/>
            <w:tcBorders>
              <w:top w:val="nil"/>
              <w:left w:val="nil"/>
              <w:bottom w:val="nil"/>
              <w:right w:val="single" w:sz="4" w:space="0" w:color="auto"/>
            </w:tcBorders>
            <w:shd w:val="clear" w:color="auto" w:fill="auto"/>
            <w:noWrap/>
            <w:vAlign w:val="bottom"/>
            <w:hideMark/>
          </w:tcPr>
          <w:p w14:paraId="62ED30E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079258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c>
          <w:tcPr>
            <w:tcW w:w="1352" w:type="dxa"/>
            <w:tcBorders>
              <w:top w:val="nil"/>
              <w:left w:val="nil"/>
              <w:bottom w:val="nil"/>
              <w:right w:val="single" w:sz="4" w:space="0" w:color="auto"/>
            </w:tcBorders>
            <w:shd w:val="clear" w:color="auto" w:fill="auto"/>
            <w:noWrap/>
            <w:vAlign w:val="bottom"/>
            <w:hideMark/>
          </w:tcPr>
          <w:p w14:paraId="02A21E5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2073999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r>
      <w:tr w:rsidR="002F6D27" w:rsidRPr="002F6D27" w14:paraId="45419A6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CD50CA6"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2008</w:t>
            </w:r>
          </w:p>
        </w:tc>
        <w:tc>
          <w:tcPr>
            <w:tcW w:w="1352" w:type="dxa"/>
            <w:tcBorders>
              <w:top w:val="nil"/>
              <w:left w:val="nil"/>
              <w:bottom w:val="nil"/>
              <w:right w:val="single" w:sz="4" w:space="0" w:color="auto"/>
            </w:tcBorders>
            <w:shd w:val="clear" w:color="auto" w:fill="auto"/>
            <w:noWrap/>
            <w:vAlign w:val="bottom"/>
            <w:hideMark/>
          </w:tcPr>
          <w:p w14:paraId="5453066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1029B64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102,51</w:t>
            </w:r>
          </w:p>
        </w:tc>
        <w:tc>
          <w:tcPr>
            <w:tcW w:w="1352" w:type="dxa"/>
            <w:tcBorders>
              <w:top w:val="nil"/>
              <w:left w:val="nil"/>
              <w:bottom w:val="nil"/>
              <w:right w:val="single" w:sz="4" w:space="0" w:color="auto"/>
            </w:tcBorders>
            <w:shd w:val="clear" w:color="auto" w:fill="auto"/>
            <w:noWrap/>
            <w:vAlign w:val="bottom"/>
            <w:hideMark/>
          </w:tcPr>
          <w:p w14:paraId="2B4263E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2CFEC7B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102,47</w:t>
            </w:r>
          </w:p>
        </w:tc>
      </w:tr>
      <w:tr w:rsidR="002F6D27" w:rsidRPr="002F6D27" w14:paraId="17F12EE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0CDBEE9"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2009</w:t>
            </w:r>
          </w:p>
        </w:tc>
        <w:tc>
          <w:tcPr>
            <w:tcW w:w="1352" w:type="dxa"/>
            <w:tcBorders>
              <w:top w:val="nil"/>
              <w:left w:val="nil"/>
              <w:bottom w:val="nil"/>
              <w:right w:val="single" w:sz="4" w:space="0" w:color="auto"/>
            </w:tcBorders>
            <w:shd w:val="clear" w:color="auto" w:fill="auto"/>
            <w:noWrap/>
            <w:vAlign w:val="bottom"/>
            <w:hideMark/>
          </w:tcPr>
          <w:p w14:paraId="7021A16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553A8F9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102,51</w:t>
            </w:r>
          </w:p>
        </w:tc>
        <w:tc>
          <w:tcPr>
            <w:tcW w:w="1352" w:type="dxa"/>
            <w:tcBorders>
              <w:top w:val="nil"/>
              <w:left w:val="nil"/>
              <w:bottom w:val="nil"/>
              <w:right w:val="single" w:sz="4" w:space="0" w:color="auto"/>
            </w:tcBorders>
            <w:shd w:val="clear" w:color="auto" w:fill="auto"/>
            <w:noWrap/>
            <w:vAlign w:val="bottom"/>
            <w:hideMark/>
          </w:tcPr>
          <w:p w14:paraId="42A373B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139A0CF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102,47</w:t>
            </w:r>
          </w:p>
        </w:tc>
      </w:tr>
      <w:tr w:rsidR="002F6D27" w:rsidRPr="002F6D27" w14:paraId="094DA112"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AA0804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2010</w:t>
            </w:r>
          </w:p>
        </w:tc>
        <w:tc>
          <w:tcPr>
            <w:tcW w:w="1352" w:type="dxa"/>
            <w:tcBorders>
              <w:top w:val="nil"/>
              <w:left w:val="nil"/>
              <w:bottom w:val="nil"/>
              <w:right w:val="single" w:sz="4" w:space="0" w:color="auto"/>
            </w:tcBorders>
            <w:shd w:val="clear" w:color="auto" w:fill="auto"/>
            <w:noWrap/>
            <w:vAlign w:val="bottom"/>
            <w:hideMark/>
          </w:tcPr>
          <w:p w14:paraId="1A66C88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7428234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c>
          <w:tcPr>
            <w:tcW w:w="1352" w:type="dxa"/>
            <w:tcBorders>
              <w:top w:val="nil"/>
              <w:left w:val="nil"/>
              <w:bottom w:val="nil"/>
              <w:right w:val="single" w:sz="4" w:space="0" w:color="auto"/>
            </w:tcBorders>
            <w:shd w:val="clear" w:color="auto" w:fill="auto"/>
            <w:noWrap/>
            <w:vAlign w:val="bottom"/>
            <w:hideMark/>
          </w:tcPr>
          <w:p w14:paraId="42DF6AF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101824E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102,01</w:t>
            </w:r>
          </w:p>
        </w:tc>
      </w:tr>
      <w:tr w:rsidR="002F6D27" w:rsidRPr="002F6D27" w14:paraId="1B134646"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228E484"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75D35F8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490504D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103,54</w:t>
            </w:r>
          </w:p>
        </w:tc>
        <w:tc>
          <w:tcPr>
            <w:tcW w:w="1352" w:type="dxa"/>
            <w:tcBorders>
              <w:top w:val="nil"/>
              <w:left w:val="nil"/>
              <w:bottom w:val="nil"/>
              <w:right w:val="single" w:sz="4" w:space="0" w:color="auto"/>
            </w:tcBorders>
            <w:shd w:val="clear" w:color="auto" w:fill="auto"/>
            <w:noWrap/>
            <w:vAlign w:val="bottom"/>
            <w:hideMark/>
          </w:tcPr>
          <w:p w14:paraId="609725B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218F8CA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103,54</w:t>
            </w:r>
          </w:p>
        </w:tc>
      </w:tr>
      <w:tr w:rsidR="002F6D27" w:rsidRPr="002F6D27" w14:paraId="338E7D14"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D7BA4F9"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2011</w:t>
            </w:r>
          </w:p>
        </w:tc>
        <w:tc>
          <w:tcPr>
            <w:tcW w:w="1352" w:type="dxa"/>
            <w:tcBorders>
              <w:top w:val="nil"/>
              <w:left w:val="nil"/>
              <w:bottom w:val="nil"/>
              <w:right w:val="single" w:sz="4" w:space="0" w:color="auto"/>
            </w:tcBorders>
            <w:shd w:val="clear" w:color="auto" w:fill="auto"/>
            <w:noWrap/>
            <w:vAlign w:val="bottom"/>
            <w:hideMark/>
          </w:tcPr>
          <w:p w14:paraId="1B74D17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2,33</w:t>
            </w:r>
          </w:p>
        </w:tc>
        <w:tc>
          <w:tcPr>
            <w:tcW w:w="1238" w:type="dxa"/>
            <w:tcBorders>
              <w:top w:val="nil"/>
              <w:left w:val="nil"/>
              <w:bottom w:val="nil"/>
              <w:right w:val="double" w:sz="6" w:space="0" w:color="auto"/>
            </w:tcBorders>
            <w:shd w:val="clear" w:color="auto" w:fill="auto"/>
            <w:noWrap/>
            <w:vAlign w:val="bottom"/>
            <w:hideMark/>
          </w:tcPr>
          <w:p w14:paraId="6B951A2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105,95</w:t>
            </w:r>
          </w:p>
        </w:tc>
        <w:tc>
          <w:tcPr>
            <w:tcW w:w="1352" w:type="dxa"/>
            <w:tcBorders>
              <w:top w:val="nil"/>
              <w:left w:val="nil"/>
              <w:bottom w:val="nil"/>
              <w:right w:val="single" w:sz="4" w:space="0" w:color="auto"/>
            </w:tcBorders>
            <w:shd w:val="clear" w:color="auto" w:fill="auto"/>
            <w:noWrap/>
            <w:vAlign w:val="bottom"/>
            <w:hideMark/>
          </w:tcPr>
          <w:p w14:paraId="5219F68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2,30</w:t>
            </w:r>
          </w:p>
        </w:tc>
        <w:tc>
          <w:tcPr>
            <w:tcW w:w="1238" w:type="dxa"/>
            <w:tcBorders>
              <w:top w:val="nil"/>
              <w:left w:val="nil"/>
              <w:bottom w:val="nil"/>
              <w:right w:val="double" w:sz="6" w:space="0" w:color="auto"/>
            </w:tcBorders>
            <w:shd w:val="clear" w:color="auto" w:fill="auto"/>
            <w:noWrap/>
            <w:vAlign w:val="bottom"/>
            <w:hideMark/>
          </w:tcPr>
          <w:p w14:paraId="4914871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105,92</w:t>
            </w:r>
          </w:p>
        </w:tc>
      </w:tr>
      <w:tr w:rsidR="002F6D27" w:rsidRPr="002F6D27" w14:paraId="4648CAE9"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C61434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2012</w:t>
            </w:r>
          </w:p>
        </w:tc>
        <w:tc>
          <w:tcPr>
            <w:tcW w:w="1352" w:type="dxa"/>
            <w:tcBorders>
              <w:top w:val="nil"/>
              <w:left w:val="nil"/>
              <w:bottom w:val="nil"/>
              <w:right w:val="single" w:sz="4" w:space="0" w:color="auto"/>
            </w:tcBorders>
            <w:shd w:val="clear" w:color="auto" w:fill="auto"/>
            <w:noWrap/>
            <w:vAlign w:val="bottom"/>
            <w:hideMark/>
          </w:tcPr>
          <w:p w14:paraId="3A5FD56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098B017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108,07</w:t>
            </w:r>
          </w:p>
        </w:tc>
        <w:tc>
          <w:tcPr>
            <w:tcW w:w="1352" w:type="dxa"/>
            <w:tcBorders>
              <w:top w:val="nil"/>
              <w:left w:val="nil"/>
              <w:bottom w:val="nil"/>
              <w:right w:val="single" w:sz="4" w:space="0" w:color="auto"/>
            </w:tcBorders>
            <w:shd w:val="clear" w:color="auto" w:fill="auto"/>
            <w:noWrap/>
            <w:vAlign w:val="bottom"/>
            <w:hideMark/>
          </w:tcPr>
          <w:p w14:paraId="34C4611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6CCE6D6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108,04</w:t>
            </w:r>
          </w:p>
        </w:tc>
      </w:tr>
      <w:tr w:rsidR="002F6D27" w:rsidRPr="002F6D27" w14:paraId="7244C08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19D1E17"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2013</w:t>
            </w:r>
          </w:p>
        </w:tc>
        <w:tc>
          <w:tcPr>
            <w:tcW w:w="1352" w:type="dxa"/>
            <w:tcBorders>
              <w:top w:val="nil"/>
              <w:left w:val="nil"/>
              <w:bottom w:val="nil"/>
              <w:right w:val="single" w:sz="4" w:space="0" w:color="auto"/>
            </w:tcBorders>
            <w:shd w:val="clear" w:color="auto" w:fill="auto"/>
            <w:noWrap/>
            <w:vAlign w:val="bottom"/>
            <w:hideMark/>
          </w:tcPr>
          <w:p w14:paraId="3398433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7356FCA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110,23</w:t>
            </w:r>
          </w:p>
        </w:tc>
        <w:tc>
          <w:tcPr>
            <w:tcW w:w="1352" w:type="dxa"/>
            <w:tcBorders>
              <w:top w:val="nil"/>
              <w:left w:val="nil"/>
              <w:bottom w:val="nil"/>
              <w:right w:val="single" w:sz="4" w:space="0" w:color="auto"/>
            </w:tcBorders>
            <w:shd w:val="clear" w:color="auto" w:fill="auto"/>
            <w:noWrap/>
            <w:vAlign w:val="bottom"/>
            <w:hideMark/>
          </w:tcPr>
          <w:p w14:paraId="6B26850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3FCB388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110,20</w:t>
            </w:r>
          </w:p>
        </w:tc>
      </w:tr>
      <w:tr w:rsidR="002F6D27" w:rsidRPr="002F6D27" w14:paraId="0EA7795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299DB72"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2014</w:t>
            </w:r>
          </w:p>
        </w:tc>
        <w:tc>
          <w:tcPr>
            <w:tcW w:w="1352" w:type="dxa"/>
            <w:tcBorders>
              <w:top w:val="nil"/>
              <w:left w:val="nil"/>
              <w:bottom w:val="nil"/>
              <w:right w:val="single" w:sz="4" w:space="0" w:color="auto"/>
            </w:tcBorders>
            <w:shd w:val="clear" w:color="auto" w:fill="auto"/>
            <w:noWrap/>
            <w:vAlign w:val="bottom"/>
            <w:hideMark/>
          </w:tcPr>
          <w:p w14:paraId="7384827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3D8D4E0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113,54</w:t>
            </w:r>
          </w:p>
        </w:tc>
        <w:tc>
          <w:tcPr>
            <w:tcW w:w="1352" w:type="dxa"/>
            <w:tcBorders>
              <w:top w:val="nil"/>
              <w:left w:val="nil"/>
              <w:bottom w:val="nil"/>
              <w:right w:val="single" w:sz="4" w:space="0" w:color="auto"/>
            </w:tcBorders>
            <w:shd w:val="clear" w:color="auto" w:fill="auto"/>
            <w:noWrap/>
            <w:vAlign w:val="bottom"/>
            <w:hideMark/>
          </w:tcPr>
          <w:p w14:paraId="70F7D4E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6EB0C5F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113,50</w:t>
            </w:r>
          </w:p>
        </w:tc>
      </w:tr>
      <w:tr w:rsidR="002F6D27" w:rsidRPr="002F6D27" w14:paraId="71EFCDB9"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9E7962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2015</w:t>
            </w:r>
          </w:p>
        </w:tc>
        <w:tc>
          <w:tcPr>
            <w:tcW w:w="1352" w:type="dxa"/>
            <w:tcBorders>
              <w:top w:val="nil"/>
              <w:left w:val="nil"/>
              <w:bottom w:val="nil"/>
              <w:right w:val="single" w:sz="4" w:space="0" w:color="auto"/>
            </w:tcBorders>
            <w:shd w:val="clear" w:color="auto" w:fill="auto"/>
            <w:noWrap/>
            <w:vAlign w:val="bottom"/>
            <w:hideMark/>
          </w:tcPr>
          <w:p w14:paraId="547897A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315DFB8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116,94</w:t>
            </w:r>
          </w:p>
        </w:tc>
        <w:tc>
          <w:tcPr>
            <w:tcW w:w="1352" w:type="dxa"/>
            <w:tcBorders>
              <w:top w:val="nil"/>
              <w:left w:val="nil"/>
              <w:bottom w:val="nil"/>
              <w:right w:val="single" w:sz="4" w:space="0" w:color="auto"/>
            </w:tcBorders>
            <w:shd w:val="clear" w:color="auto" w:fill="auto"/>
            <w:noWrap/>
            <w:vAlign w:val="bottom"/>
            <w:hideMark/>
          </w:tcPr>
          <w:p w14:paraId="7D87C73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5CF3041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116,91</w:t>
            </w:r>
          </w:p>
        </w:tc>
      </w:tr>
      <w:tr w:rsidR="002F6D27" w:rsidRPr="002F6D27" w14:paraId="31F9FBD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7B43256"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2016</w:t>
            </w:r>
          </w:p>
        </w:tc>
        <w:tc>
          <w:tcPr>
            <w:tcW w:w="1352" w:type="dxa"/>
            <w:tcBorders>
              <w:top w:val="nil"/>
              <w:left w:val="nil"/>
              <w:bottom w:val="nil"/>
              <w:right w:val="single" w:sz="4" w:space="0" w:color="auto"/>
            </w:tcBorders>
            <w:shd w:val="clear" w:color="auto" w:fill="auto"/>
            <w:noWrap/>
            <w:vAlign w:val="bottom"/>
            <w:hideMark/>
          </w:tcPr>
          <w:p w14:paraId="76FBD81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369DFC2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120,22</w:t>
            </w:r>
          </w:p>
        </w:tc>
        <w:tc>
          <w:tcPr>
            <w:tcW w:w="1352" w:type="dxa"/>
            <w:tcBorders>
              <w:top w:val="nil"/>
              <w:left w:val="nil"/>
              <w:bottom w:val="nil"/>
              <w:right w:val="single" w:sz="4" w:space="0" w:color="auto"/>
            </w:tcBorders>
            <w:shd w:val="clear" w:color="auto" w:fill="auto"/>
            <w:noWrap/>
            <w:vAlign w:val="bottom"/>
            <w:hideMark/>
          </w:tcPr>
          <w:p w14:paraId="65DFC36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54573E3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120,18</w:t>
            </w:r>
          </w:p>
        </w:tc>
      </w:tr>
      <w:tr w:rsidR="002F6D27" w:rsidRPr="002F6D27" w14:paraId="0E6243D2"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E3EAA9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2017</w:t>
            </w:r>
          </w:p>
        </w:tc>
        <w:tc>
          <w:tcPr>
            <w:tcW w:w="1352" w:type="dxa"/>
            <w:tcBorders>
              <w:top w:val="nil"/>
              <w:left w:val="nil"/>
              <w:bottom w:val="nil"/>
              <w:right w:val="single" w:sz="4" w:space="0" w:color="auto"/>
            </w:tcBorders>
            <w:shd w:val="clear" w:color="auto" w:fill="auto"/>
            <w:noWrap/>
            <w:vAlign w:val="bottom"/>
            <w:hideMark/>
          </w:tcPr>
          <w:p w14:paraId="2522392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2CF70A5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123,34</w:t>
            </w:r>
          </w:p>
        </w:tc>
        <w:tc>
          <w:tcPr>
            <w:tcW w:w="1352" w:type="dxa"/>
            <w:tcBorders>
              <w:top w:val="nil"/>
              <w:left w:val="nil"/>
              <w:bottom w:val="nil"/>
              <w:right w:val="single" w:sz="4" w:space="0" w:color="auto"/>
            </w:tcBorders>
            <w:shd w:val="clear" w:color="auto" w:fill="auto"/>
            <w:noWrap/>
            <w:vAlign w:val="bottom"/>
            <w:hideMark/>
          </w:tcPr>
          <w:p w14:paraId="1C53C96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55613CB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123,31</w:t>
            </w:r>
          </w:p>
        </w:tc>
      </w:tr>
      <w:tr w:rsidR="002F6D27" w:rsidRPr="002F6D27" w14:paraId="66E418C6"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AD089E1"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5D467E9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0,22</w:t>
            </w:r>
          </w:p>
        </w:tc>
        <w:tc>
          <w:tcPr>
            <w:tcW w:w="1238" w:type="dxa"/>
            <w:tcBorders>
              <w:top w:val="nil"/>
              <w:left w:val="nil"/>
              <w:bottom w:val="nil"/>
              <w:right w:val="double" w:sz="6" w:space="0" w:color="auto"/>
            </w:tcBorders>
            <w:shd w:val="clear" w:color="auto" w:fill="auto"/>
            <w:noWrap/>
            <w:vAlign w:val="bottom"/>
            <w:hideMark/>
          </w:tcPr>
          <w:p w14:paraId="7473387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123,61</w:t>
            </w:r>
          </w:p>
        </w:tc>
        <w:tc>
          <w:tcPr>
            <w:tcW w:w="1352" w:type="dxa"/>
            <w:tcBorders>
              <w:top w:val="nil"/>
              <w:left w:val="nil"/>
              <w:bottom w:val="nil"/>
              <w:right w:val="single" w:sz="4" w:space="0" w:color="auto"/>
            </w:tcBorders>
            <w:shd w:val="clear" w:color="auto" w:fill="auto"/>
            <w:noWrap/>
            <w:vAlign w:val="bottom"/>
            <w:hideMark/>
          </w:tcPr>
          <w:p w14:paraId="03498C9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0,19</w:t>
            </w:r>
          </w:p>
        </w:tc>
        <w:tc>
          <w:tcPr>
            <w:tcW w:w="1238" w:type="dxa"/>
            <w:tcBorders>
              <w:top w:val="nil"/>
              <w:left w:val="nil"/>
              <w:bottom w:val="nil"/>
              <w:right w:val="double" w:sz="6" w:space="0" w:color="auto"/>
            </w:tcBorders>
            <w:shd w:val="clear" w:color="auto" w:fill="auto"/>
            <w:noWrap/>
            <w:vAlign w:val="bottom"/>
            <w:hideMark/>
          </w:tcPr>
          <w:p w14:paraId="37A242A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123,54</w:t>
            </w:r>
          </w:p>
        </w:tc>
      </w:tr>
      <w:tr w:rsidR="002F6D27" w:rsidRPr="002F6D27" w14:paraId="5227DB71"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7974A6E"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2018</w:t>
            </w:r>
          </w:p>
        </w:tc>
        <w:tc>
          <w:tcPr>
            <w:tcW w:w="1352" w:type="dxa"/>
            <w:tcBorders>
              <w:top w:val="nil"/>
              <w:left w:val="nil"/>
              <w:bottom w:val="nil"/>
              <w:right w:val="single" w:sz="4" w:space="0" w:color="auto"/>
            </w:tcBorders>
            <w:shd w:val="clear" w:color="auto" w:fill="auto"/>
            <w:noWrap/>
            <w:vAlign w:val="bottom"/>
            <w:hideMark/>
          </w:tcPr>
          <w:p w14:paraId="620F4A6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7FA5651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127,57</w:t>
            </w:r>
          </w:p>
        </w:tc>
        <w:tc>
          <w:tcPr>
            <w:tcW w:w="1352" w:type="dxa"/>
            <w:tcBorders>
              <w:top w:val="nil"/>
              <w:left w:val="nil"/>
              <w:bottom w:val="nil"/>
              <w:right w:val="single" w:sz="4" w:space="0" w:color="auto"/>
            </w:tcBorders>
            <w:shd w:val="clear" w:color="auto" w:fill="auto"/>
            <w:noWrap/>
            <w:vAlign w:val="bottom"/>
            <w:hideMark/>
          </w:tcPr>
          <w:p w14:paraId="07234AB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6FF62CF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127,50</w:t>
            </w:r>
          </w:p>
        </w:tc>
      </w:tr>
      <w:tr w:rsidR="002F6D27" w:rsidRPr="002F6D27" w14:paraId="785EAB5D"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5E1A647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358D81C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0,13</w:t>
            </w:r>
          </w:p>
        </w:tc>
        <w:tc>
          <w:tcPr>
            <w:tcW w:w="1238" w:type="dxa"/>
            <w:tcBorders>
              <w:top w:val="nil"/>
              <w:left w:val="nil"/>
              <w:bottom w:val="nil"/>
              <w:right w:val="double" w:sz="6" w:space="0" w:color="auto"/>
            </w:tcBorders>
            <w:shd w:val="clear" w:color="auto" w:fill="auto"/>
            <w:noWrap/>
            <w:vAlign w:val="bottom"/>
            <w:hideMark/>
          </w:tcPr>
          <w:p w14:paraId="10B8608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127,74</w:t>
            </w:r>
          </w:p>
        </w:tc>
        <w:tc>
          <w:tcPr>
            <w:tcW w:w="1352" w:type="dxa"/>
            <w:tcBorders>
              <w:top w:val="nil"/>
              <w:left w:val="nil"/>
              <w:bottom w:val="nil"/>
              <w:right w:val="single" w:sz="4" w:space="0" w:color="auto"/>
            </w:tcBorders>
            <w:shd w:val="clear" w:color="auto" w:fill="auto"/>
            <w:noWrap/>
            <w:vAlign w:val="bottom"/>
            <w:hideMark/>
          </w:tcPr>
          <w:p w14:paraId="0C5BB51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0,12</w:t>
            </w:r>
          </w:p>
        </w:tc>
        <w:tc>
          <w:tcPr>
            <w:tcW w:w="1238" w:type="dxa"/>
            <w:tcBorders>
              <w:top w:val="nil"/>
              <w:left w:val="nil"/>
              <w:bottom w:val="nil"/>
              <w:right w:val="double" w:sz="6" w:space="0" w:color="auto"/>
            </w:tcBorders>
            <w:shd w:val="clear" w:color="auto" w:fill="auto"/>
            <w:noWrap/>
            <w:vAlign w:val="bottom"/>
            <w:hideMark/>
          </w:tcPr>
          <w:p w14:paraId="354021D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127,65</w:t>
            </w:r>
          </w:p>
        </w:tc>
      </w:tr>
      <w:tr w:rsidR="002F6D27" w:rsidRPr="002F6D27" w14:paraId="54E447D8" w14:textId="77777777" w:rsidTr="002F6D27">
        <w:trPr>
          <w:trHeight w:val="276"/>
        </w:trPr>
        <w:tc>
          <w:tcPr>
            <w:tcW w:w="1240" w:type="dxa"/>
            <w:tcBorders>
              <w:top w:val="single" w:sz="8" w:space="0" w:color="auto"/>
              <w:left w:val="double" w:sz="6" w:space="0" w:color="auto"/>
              <w:bottom w:val="double" w:sz="6" w:space="0" w:color="auto"/>
              <w:right w:val="double" w:sz="6" w:space="0" w:color="auto"/>
            </w:tcBorders>
            <w:shd w:val="clear" w:color="auto" w:fill="auto"/>
            <w:noWrap/>
            <w:vAlign w:val="bottom"/>
            <w:hideMark/>
          </w:tcPr>
          <w:p w14:paraId="62E0F775"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6B823A43"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7E0218B8"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27,74</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317B38C4"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5F3D7CA9"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27,65</w:t>
            </w:r>
          </w:p>
        </w:tc>
      </w:tr>
    </w:tbl>
    <w:p w14:paraId="4ABDD099" w14:textId="77777777" w:rsidR="002F6D27" w:rsidRDefault="002F6D27" w:rsidP="00503386">
      <w:pPr>
        <w:overflowPunct/>
        <w:spacing w:line="276" w:lineRule="auto"/>
        <w:jc w:val="both"/>
        <w:textAlignment w:val="auto"/>
        <w:rPr>
          <w:rFonts w:ascii="Arial" w:eastAsia="Calibri" w:hAnsi="Arial" w:cs="Arial"/>
          <w:sz w:val="24"/>
          <w:szCs w:val="24"/>
          <w:lang w:eastAsia="en-US"/>
        </w:rPr>
      </w:pPr>
    </w:p>
    <w:p w14:paraId="028D0592" w14:textId="77777777" w:rsidR="004E2F98" w:rsidRDefault="004E2F98" w:rsidP="00503386">
      <w:pPr>
        <w:overflowPunct/>
        <w:spacing w:line="276" w:lineRule="auto"/>
        <w:jc w:val="both"/>
        <w:textAlignment w:val="auto"/>
        <w:rPr>
          <w:rFonts w:ascii="Arial" w:eastAsia="Calibri" w:hAnsi="Arial" w:cs="Arial"/>
          <w:sz w:val="24"/>
          <w:szCs w:val="24"/>
          <w:lang w:eastAsia="en-US"/>
        </w:rPr>
      </w:pPr>
    </w:p>
    <w:p w14:paraId="76370A45" w14:textId="77777777" w:rsidR="004E2F98" w:rsidRDefault="004E2F98" w:rsidP="00503386">
      <w:pPr>
        <w:overflowPunct/>
        <w:spacing w:line="276" w:lineRule="auto"/>
        <w:jc w:val="both"/>
        <w:textAlignment w:val="auto"/>
        <w:rPr>
          <w:rFonts w:ascii="Arial" w:eastAsia="Calibri" w:hAnsi="Arial" w:cs="Arial"/>
          <w:sz w:val="24"/>
          <w:szCs w:val="24"/>
          <w:lang w:eastAsia="en-US"/>
        </w:rPr>
      </w:pPr>
    </w:p>
    <w:bookmarkEnd w:id="14"/>
    <w:p w14:paraId="76318C5F" w14:textId="6BBF9284" w:rsidR="00AE615C" w:rsidRDefault="008E03CF" w:rsidP="00503386">
      <w:pPr>
        <w:overflowPunct/>
        <w:spacing w:line="276" w:lineRule="auto"/>
        <w:jc w:val="both"/>
        <w:textAlignment w:val="auto"/>
        <w:rPr>
          <w:rFonts w:ascii="Arial" w:eastAsia="Calibri" w:hAnsi="Arial" w:cs="Arial"/>
          <w:sz w:val="24"/>
          <w:szCs w:val="24"/>
          <w:lang w:eastAsia="en-US"/>
        </w:rPr>
      </w:pPr>
      <w:r w:rsidRPr="008E03CF">
        <w:rPr>
          <w:rFonts w:ascii="Arial" w:eastAsia="Calibri" w:hAnsi="Arial" w:cs="Arial"/>
          <w:sz w:val="24"/>
          <w:szCs w:val="24"/>
          <w:lang w:eastAsia="en-US"/>
        </w:rPr>
        <w:t>(</w:t>
      </w:r>
      <w:r>
        <w:rPr>
          <w:rFonts w:ascii="Arial" w:eastAsia="Calibri" w:hAnsi="Arial" w:cs="Arial"/>
          <w:sz w:val="24"/>
          <w:szCs w:val="24"/>
          <w:lang w:eastAsia="en-US"/>
        </w:rPr>
        <w:t>4</w:t>
      </w:r>
      <w:r w:rsidRPr="008E03CF">
        <w:rPr>
          <w:rFonts w:ascii="Arial" w:eastAsia="Calibri" w:hAnsi="Arial" w:cs="Arial"/>
          <w:sz w:val="24"/>
          <w:szCs w:val="24"/>
          <w:lang w:eastAsia="en-US"/>
        </w:rPr>
        <w:t xml:space="preserve">) </w:t>
      </w:r>
      <w:bookmarkStart w:id="15" w:name="OLE_LINK1"/>
      <w:r w:rsidRPr="008E03CF">
        <w:rPr>
          <w:rFonts w:ascii="Arial" w:eastAsia="Calibri" w:hAnsi="Arial" w:cs="Arial"/>
          <w:sz w:val="24"/>
          <w:szCs w:val="24"/>
          <w:lang w:eastAsia="en-US"/>
        </w:rPr>
        <w:t>Im Zeitraum 200</w:t>
      </w:r>
      <w:r>
        <w:rPr>
          <w:rFonts w:ascii="Arial" w:eastAsia="Calibri" w:hAnsi="Arial" w:cs="Arial"/>
          <w:sz w:val="24"/>
          <w:szCs w:val="24"/>
          <w:lang w:eastAsia="en-US"/>
        </w:rPr>
        <w:t>4</w:t>
      </w:r>
      <w:r w:rsidRPr="008E03CF">
        <w:rPr>
          <w:rFonts w:ascii="Arial" w:eastAsia="Calibri" w:hAnsi="Arial" w:cs="Arial"/>
          <w:sz w:val="24"/>
          <w:szCs w:val="24"/>
          <w:lang w:eastAsia="en-US"/>
        </w:rPr>
        <w:t xml:space="preserve"> bis 201</w:t>
      </w:r>
      <w:r>
        <w:rPr>
          <w:rFonts w:ascii="Arial" w:eastAsia="Calibri" w:hAnsi="Arial" w:cs="Arial"/>
          <w:sz w:val="24"/>
          <w:szCs w:val="24"/>
          <w:lang w:eastAsia="en-US"/>
        </w:rPr>
        <w:t>9</w:t>
      </w:r>
      <w:r w:rsidRPr="008E03CF">
        <w:rPr>
          <w:rFonts w:ascii="Arial" w:eastAsia="Calibri" w:hAnsi="Arial" w:cs="Arial"/>
          <w:sz w:val="24"/>
          <w:szCs w:val="24"/>
          <w:lang w:eastAsia="en-US"/>
        </w:rPr>
        <w:t xml:space="preserve"> stieg die Besoldung der Besoldungsgruppe R</w:t>
      </w:r>
      <w:r w:rsidR="002A3910">
        <w:rPr>
          <w:rFonts w:ascii="Arial" w:eastAsia="Calibri" w:hAnsi="Arial" w:cs="Arial"/>
          <w:sz w:val="24"/>
          <w:szCs w:val="24"/>
          <w:lang w:eastAsia="en-US"/>
        </w:rPr>
        <w:t xml:space="preserve"> </w:t>
      </w:r>
      <w:r w:rsidRPr="008E03CF">
        <w:rPr>
          <w:rFonts w:ascii="Arial" w:eastAsia="Calibri" w:hAnsi="Arial" w:cs="Arial"/>
          <w:sz w:val="24"/>
          <w:szCs w:val="24"/>
          <w:lang w:eastAsia="en-US"/>
        </w:rPr>
        <w:t xml:space="preserve">1 um </w:t>
      </w:r>
      <w:r w:rsidR="00D7474E">
        <w:rPr>
          <w:rFonts w:ascii="Arial" w:eastAsia="Calibri" w:hAnsi="Arial" w:cs="Arial"/>
          <w:sz w:val="24"/>
          <w:szCs w:val="24"/>
          <w:lang w:eastAsia="en-US"/>
        </w:rPr>
        <w:t>30,</w:t>
      </w:r>
      <w:r w:rsidR="002F6D27">
        <w:rPr>
          <w:rFonts w:ascii="Arial" w:eastAsia="Calibri" w:hAnsi="Arial" w:cs="Arial"/>
          <w:sz w:val="24"/>
          <w:szCs w:val="24"/>
          <w:lang w:eastAsia="en-US"/>
        </w:rPr>
        <w:t>60</w:t>
      </w:r>
      <w:r w:rsidRPr="000829E2">
        <w:rPr>
          <w:rFonts w:ascii="Arial" w:eastAsia="Calibri" w:hAnsi="Arial" w:cs="Arial"/>
          <w:sz w:val="24"/>
          <w:szCs w:val="24"/>
          <w:lang w:eastAsia="en-US"/>
        </w:rPr>
        <w:t xml:space="preserve"> %</w:t>
      </w:r>
      <w:bookmarkEnd w:id="15"/>
      <w:r w:rsidR="00AE615C">
        <w:rPr>
          <w:rFonts w:ascii="Arial" w:eastAsia="Calibri" w:hAnsi="Arial" w:cs="Arial"/>
          <w:sz w:val="24"/>
          <w:szCs w:val="24"/>
          <w:lang w:eastAsia="en-US"/>
        </w:rPr>
        <w:t xml:space="preserve"> </w:t>
      </w:r>
      <w:r w:rsidR="00AE615C" w:rsidRPr="005855E3">
        <w:rPr>
          <w:rFonts w:ascii="Arial" w:eastAsia="Calibri" w:hAnsi="Arial" w:cs="Arial"/>
          <w:sz w:val="24"/>
          <w:szCs w:val="24"/>
          <w:lang w:eastAsia="en-US"/>
        </w:rPr>
        <w:t xml:space="preserve">und diejenige der Besoldungsgruppe R 2 um </w:t>
      </w:r>
      <w:r w:rsidR="00AE615C">
        <w:rPr>
          <w:rFonts w:ascii="Arial" w:eastAsia="Calibri" w:hAnsi="Arial" w:cs="Arial"/>
          <w:sz w:val="24"/>
          <w:szCs w:val="24"/>
          <w:lang w:eastAsia="en-US"/>
        </w:rPr>
        <w:t>30,</w:t>
      </w:r>
      <w:r w:rsidR="002F6D27">
        <w:rPr>
          <w:rFonts w:ascii="Arial" w:eastAsia="Calibri" w:hAnsi="Arial" w:cs="Arial"/>
          <w:sz w:val="24"/>
          <w:szCs w:val="24"/>
          <w:lang w:eastAsia="en-US"/>
        </w:rPr>
        <w:t>51</w:t>
      </w:r>
      <w:r w:rsidR="00AE615C" w:rsidRPr="005855E3">
        <w:rPr>
          <w:rFonts w:ascii="Arial" w:eastAsia="Calibri" w:hAnsi="Arial" w:cs="Arial"/>
          <w:sz w:val="24"/>
          <w:szCs w:val="24"/>
          <w:lang w:eastAsia="en-US"/>
        </w:rPr>
        <w:t xml:space="preserve"> %.</w:t>
      </w:r>
    </w:p>
    <w:p w14:paraId="65E321AA" w14:textId="37DB38DA" w:rsidR="00AE615C" w:rsidRDefault="00AE615C" w:rsidP="00503386">
      <w:pPr>
        <w:overflowPunct/>
        <w:spacing w:line="276" w:lineRule="auto"/>
        <w:ind w:left="2832"/>
        <w:jc w:val="both"/>
        <w:textAlignment w:val="auto"/>
        <w:rPr>
          <w:rFonts w:ascii="Arial" w:eastAsia="Calibri" w:hAnsi="Arial" w:cs="Arial"/>
          <w:sz w:val="24"/>
          <w:szCs w:val="24"/>
          <w:lang w:eastAsia="en-US"/>
        </w:rPr>
      </w:pPr>
    </w:p>
    <w:p w14:paraId="31D1278D" w14:textId="77777777" w:rsidR="004E2F98" w:rsidRDefault="004E2F98" w:rsidP="00503386">
      <w:pPr>
        <w:overflowPunct/>
        <w:spacing w:line="276" w:lineRule="auto"/>
        <w:ind w:left="2832"/>
        <w:jc w:val="both"/>
        <w:textAlignment w:val="auto"/>
        <w:rPr>
          <w:rFonts w:ascii="Arial" w:eastAsia="Calibri" w:hAnsi="Arial" w:cs="Arial"/>
          <w:sz w:val="24"/>
          <w:szCs w:val="24"/>
          <w:lang w:eastAsia="en-US"/>
        </w:rPr>
      </w:pPr>
    </w:p>
    <w:p w14:paraId="3FF36ADF" w14:textId="77777777" w:rsidR="004E2F98" w:rsidRDefault="004E2F98" w:rsidP="00503386">
      <w:pPr>
        <w:overflowPunct/>
        <w:spacing w:line="276" w:lineRule="auto"/>
        <w:ind w:left="2832"/>
        <w:jc w:val="both"/>
        <w:textAlignment w:val="auto"/>
        <w:rPr>
          <w:rFonts w:ascii="Arial" w:eastAsia="Calibri" w:hAnsi="Arial" w:cs="Arial"/>
          <w:sz w:val="24"/>
          <w:szCs w:val="24"/>
          <w:lang w:eastAsia="en-US"/>
        </w:rPr>
      </w:pPr>
    </w:p>
    <w:tbl>
      <w:tblPr>
        <w:tblW w:w="6420" w:type="dxa"/>
        <w:tblInd w:w="801" w:type="dxa"/>
        <w:tblCellMar>
          <w:left w:w="70" w:type="dxa"/>
          <w:right w:w="70" w:type="dxa"/>
        </w:tblCellMar>
        <w:tblLook w:val="04A0" w:firstRow="1" w:lastRow="0" w:firstColumn="1" w:lastColumn="0" w:noHBand="0" w:noVBand="1"/>
      </w:tblPr>
      <w:tblGrid>
        <w:gridCol w:w="1240"/>
        <w:gridCol w:w="1352"/>
        <w:gridCol w:w="1238"/>
        <w:gridCol w:w="1352"/>
        <w:gridCol w:w="1238"/>
      </w:tblGrid>
      <w:tr w:rsidR="002F6D27" w:rsidRPr="002F6D27" w14:paraId="74C6F959" w14:textId="77777777" w:rsidTr="002F6D27">
        <w:trPr>
          <w:trHeight w:val="288"/>
        </w:trPr>
        <w:tc>
          <w:tcPr>
            <w:tcW w:w="124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5E9667B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lastRenderedPageBreak/>
              <w:t> </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4B16A489"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R1</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3EB304AB"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R2</w:t>
            </w:r>
          </w:p>
        </w:tc>
      </w:tr>
      <w:tr w:rsidR="002F6D27" w:rsidRPr="002F6D27" w14:paraId="7EF9EB7B" w14:textId="77777777" w:rsidTr="002F6D27">
        <w:trPr>
          <w:trHeight w:val="540"/>
        </w:trPr>
        <w:tc>
          <w:tcPr>
            <w:tcW w:w="1240" w:type="dxa"/>
            <w:tcBorders>
              <w:top w:val="nil"/>
              <w:left w:val="double" w:sz="6" w:space="0" w:color="auto"/>
              <w:bottom w:val="double" w:sz="6" w:space="0" w:color="auto"/>
              <w:right w:val="double" w:sz="6" w:space="0" w:color="auto"/>
            </w:tcBorders>
            <w:shd w:val="clear" w:color="auto" w:fill="auto"/>
            <w:noWrap/>
            <w:vAlign w:val="center"/>
            <w:hideMark/>
          </w:tcPr>
          <w:p w14:paraId="1058B462"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 </w:t>
            </w:r>
          </w:p>
        </w:tc>
        <w:tc>
          <w:tcPr>
            <w:tcW w:w="1352" w:type="dxa"/>
            <w:tcBorders>
              <w:top w:val="nil"/>
              <w:left w:val="nil"/>
              <w:bottom w:val="double" w:sz="6" w:space="0" w:color="auto"/>
              <w:right w:val="single" w:sz="4" w:space="0" w:color="auto"/>
            </w:tcBorders>
            <w:shd w:val="clear" w:color="auto" w:fill="auto"/>
            <w:vAlign w:val="center"/>
            <w:hideMark/>
          </w:tcPr>
          <w:p w14:paraId="360CE08E"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270F6FF8"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c>
          <w:tcPr>
            <w:tcW w:w="1352" w:type="dxa"/>
            <w:tcBorders>
              <w:top w:val="nil"/>
              <w:left w:val="nil"/>
              <w:bottom w:val="double" w:sz="6" w:space="0" w:color="auto"/>
              <w:right w:val="single" w:sz="4" w:space="0" w:color="auto"/>
            </w:tcBorders>
            <w:shd w:val="clear" w:color="auto" w:fill="auto"/>
            <w:vAlign w:val="center"/>
            <w:hideMark/>
          </w:tcPr>
          <w:p w14:paraId="16474268"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46CB43EE"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r>
      <w:tr w:rsidR="002F6D27" w:rsidRPr="002F6D27" w14:paraId="462CD2DE"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54CBCEB6"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2004</w:t>
            </w:r>
          </w:p>
        </w:tc>
        <w:tc>
          <w:tcPr>
            <w:tcW w:w="1352" w:type="dxa"/>
            <w:tcBorders>
              <w:top w:val="nil"/>
              <w:left w:val="nil"/>
              <w:bottom w:val="nil"/>
              <w:right w:val="single" w:sz="4" w:space="0" w:color="auto"/>
            </w:tcBorders>
            <w:shd w:val="clear" w:color="auto" w:fill="auto"/>
            <w:noWrap/>
            <w:vAlign w:val="bottom"/>
            <w:hideMark/>
          </w:tcPr>
          <w:p w14:paraId="29C5EDDE"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294317A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0DEEDF0D"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1FEF9B7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0A1E0E89"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0A25AE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2005</w:t>
            </w:r>
          </w:p>
        </w:tc>
        <w:tc>
          <w:tcPr>
            <w:tcW w:w="1352" w:type="dxa"/>
            <w:tcBorders>
              <w:top w:val="nil"/>
              <w:left w:val="nil"/>
              <w:bottom w:val="nil"/>
              <w:right w:val="single" w:sz="4" w:space="0" w:color="auto"/>
            </w:tcBorders>
            <w:shd w:val="clear" w:color="auto" w:fill="auto"/>
            <w:noWrap/>
            <w:vAlign w:val="bottom"/>
            <w:hideMark/>
          </w:tcPr>
          <w:p w14:paraId="2F870C7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6AF701C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210D395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135DA20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43C5BCCE"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E205A6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2006</w:t>
            </w:r>
          </w:p>
        </w:tc>
        <w:tc>
          <w:tcPr>
            <w:tcW w:w="1352" w:type="dxa"/>
            <w:tcBorders>
              <w:top w:val="nil"/>
              <w:left w:val="nil"/>
              <w:bottom w:val="nil"/>
              <w:right w:val="single" w:sz="4" w:space="0" w:color="auto"/>
            </w:tcBorders>
            <w:shd w:val="clear" w:color="auto" w:fill="auto"/>
            <w:noWrap/>
            <w:vAlign w:val="bottom"/>
            <w:hideMark/>
          </w:tcPr>
          <w:p w14:paraId="7A385FC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5FBF50F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499342A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31707F0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296948BE"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3E90A7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2007</w:t>
            </w:r>
          </w:p>
        </w:tc>
        <w:tc>
          <w:tcPr>
            <w:tcW w:w="1352" w:type="dxa"/>
            <w:tcBorders>
              <w:top w:val="nil"/>
              <w:left w:val="nil"/>
              <w:bottom w:val="nil"/>
              <w:right w:val="single" w:sz="4" w:space="0" w:color="auto"/>
            </w:tcBorders>
            <w:shd w:val="clear" w:color="auto" w:fill="auto"/>
            <w:noWrap/>
            <w:vAlign w:val="bottom"/>
            <w:hideMark/>
          </w:tcPr>
          <w:p w14:paraId="6E42888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97DCB4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39EC9AB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4F9421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68DF0861"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718797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2008</w:t>
            </w:r>
          </w:p>
        </w:tc>
        <w:tc>
          <w:tcPr>
            <w:tcW w:w="1352" w:type="dxa"/>
            <w:tcBorders>
              <w:top w:val="nil"/>
              <w:left w:val="nil"/>
              <w:bottom w:val="nil"/>
              <w:right w:val="single" w:sz="4" w:space="0" w:color="auto"/>
            </w:tcBorders>
            <w:shd w:val="clear" w:color="auto" w:fill="auto"/>
            <w:noWrap/>
            <w:vAlign w:val="bottom"/>
            <w:hideMark/>
          </w:tcPr>
          <w:p w14:paraId="10F7A46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076B517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100,49</w:t>
            </w:r>
          </w:p>
        </w:tc>
        <w:tc>
          <w:tcPr>
            <w:tcW w:w="1352" w:type="dxa"/>
            <w:tcBorders>
              <w:top w:val="nil"/>
              <w:left w:val="nil"/>
              <w:bottom w:val="nil"/>
              <w:right w:val="single" w:sz="4" w:space="0" w:color="auto"/>
            </w:tcBorders>
            <w:shd w:val="clear" w:color="auto" w:fill="auto"/>
            <w:noWrap/>
            <w:vAlign w:val="bottom"/>
            <w:hideMark/>
          </w:tcPr>
          <w:p w14:paraId="3B21561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08EF8C1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100,45</w:t>
            </w:r>
          </w:p>
        </w:tc>
      </w:tr>
      <w:tr w:rsidR="002F6D27" w:rsidRPr="002F6D27" w14:paraId="26B0432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F5154E4"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2009</w:t>
            </w:r>
          </w:p>
        </w:tc>
        <w:tc>
          <w:tcPr>
            <w:tcW w:w="1352" w:type="dxa"/>
            <w:tcBorders>
              <w:top w:val="nil"/>
              <w:left w:val="nil"/>
              <w:bottom w:val="nil"/>
              <w:right w:val="single" w:sz="4" w:space="0" w:color="auto"/>
            </w:tcBorders>
            <w:shd w:val="clear" w:color="auto" w:fill="auto"/>
            <w:noWrap/>
            <w:vAlign w:val="bottom"/>
            <w:hideMark/>
          </w:tcPr>
          <w:p w14:paraId="7E329EF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770A734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100,49</w:t>
            </w:r>
          </w:p>
        </w:tc>
        <w:tc>
          <w:tcPr>
            <w:tcW w:w="1352" w:type="dxa"/>
            <w:tcBorders>
              <w:top w:val="nil"/>
              <w:left w:val="nil"/>
              <w:bottom w:val="nil"/>
              <w:right w:val="single" w:sz="4" w:space="0" w:color="auto"/>
            </w:tcBorders>
            <w:shd w:val="clear" w:color="auto" w:fill="auto"/>
            <w:noWrap/>
            <w:vAlign w:val="bottom"/>
            <w:hideMark/>
          </w:tcPr>
          <w:p w14:paraId="66F45D8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7B5DB7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100,45</w:t>
            </w:r>
          </w:p>
        </w:tc>
      </w:tr>
      <w:tr w:rsidR="002F6D27" w:rsidRPr="002F6D27" w14:paraId="667AB277"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30C5B5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2010</w:t>
            </w:r>
          </w:p>
        </w:tc>
        <w:tc>
          <w:tcPr>
            <w:tcW w:w="1352" w:type="dxa"/>
            <w:tcBorders>
              <w:top w:val="nil"/>
              <w:left w:val="nil"/>
              <w:bottom w:val="nil"/>
              <w:right w:val="single" w:sz="4" w:space="0" w:color="auto"/>
            </w:tcBorders>
            <w:shd w:val="clear" w:color="auto" w:fill="auto"/>
            <w:noWrap/>
            <w:vAlign w:val="bottom"/>
            <w:hideMark/>
          </w:tcPr>
          <w:p w14:paraId="1C184F2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6BA24AE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4C1FC2A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797A5E2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7F8E38F1"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C1D7758"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617824F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592EE1D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101,50</w:t>
            </w:r>
          </w:p>
        </w:tc>
        <w:tc>
          <w:tcPr>
            <w:tcW w:w="1352" w:type="dxa"/>
            <w:tcBorders>
              <w:top w:val="nil"/>
              <w:left w:val="nil"/>
              <w:bottom w:val="nil"/>
              <w:right w:val="single" w:sz="4" w:space="0" w:color="auto"/>
            </w:tcBorders>
            <w:shd w:val="clear" w:color="auto" w:fill="auto"/>
            <w:noWrap/>
            <w:vAlign w:val="bottom"/>
            <w:hideMark/>
          </w:tcPr>
          <w:p w14:paraId="769A9AD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2434257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101,50</w:t>
            </w:r>
          </w:p>
        </w:tc>
      </w:tr>
      <w:tr w:rsidR="002F6D27" w:rsidRPr="002F6D27" w14:paraId="484A8BE4"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E2B7947"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2011</w:t>
            </w:r>
          </w:p>
        </w:tc>
        <w:tc>
          <w:tcPr>
            <w:tcW w:w="1352" w:type="dxa"/>
            <w:tcBorders>
              <w:top w:val="nil"/>
              <w:left w:val="nil"/>
              <w:bottom w:val="nil"/>
              <w:right w:val="single" w:sz="4" w:space="0" w:color="auto"/>
            </w:tcBorders>
            <w:shd w:val="clear" w:color="auto" w:fill="auto"/>
            <w:noWrap/>
            <w:vAlign w:val="bottom"/>
            <w:hideMark/>
          </w:tcPr>
          <w:p w14:paraId="34D858D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2,33</w:t>
            </w:r>
          </w:p>
        </w:tc>
        <w:tc>
          <w:tcPr>
            <w:tcW w:w="1238" w:type="dxa"/>
            <w:tcBorders>
              <w:top w:val="nil"/>
              <w:left w:val="nil"/>
              <w:bottom w:val="nil"/>
              <w:right w:val="double" w:sz="6" w:space="0" w:color="auto"/>
            </w:tcBorders>
            <w:shd w:val="clear" w:color="auto" w:fill="auto"/>
            <w:noWrap/>
            <w:vAlign w:val="bottom"/>
            <w:hideMark/>
          </w:tcPr>
          <w:p w14:paraId="6AD5AF0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103,86</w:t>
            </w:r>
          </w:p>
        </w:tc>
        <w:tc>
          <w:tcPr>
            <w:tcW w:w="1352" w:type="dxa"/>
            <w:tcBorders>
              <w:top w:val="nil"/>
              <w:left w:val="nil"/>
              <w:bottom w:val="nil"/>
              <w:right w:val="single" w:sz="4" w:space="0" w:color="auto"/>
            </w:tcBorders>
            <w:shd w:val="clear" w:color="auto" w:fill="auto"/>
            <w:noWrap/>
            <w:vAlign w:val="bottom"/>
            <w:hideMark/>
          </w:tcPr>
          <w:p w14:paraId="22A7DDA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2,30</w:t>
            </w:r>
          </w:p>
        </w:tc>
        <w:tc>
          <w:tcPr>
            <w:tcW w:w="1238" w:type="dxa"/>
            <w:tcBorders>
              <w:top w:val="nil"/>
              <w:left w:val="nil"/>
              <w:bottom w:val="nil"/>
              <w:right w:val="double" w:sz="6" w:space="0" w:color="auto"/>
            </w:tcBorders>
            <w:shd w:val="clear" w:color="auto" w:fill="auto"/>
            <w:noWrap/>
            <w:vAlign w:val="bottom"/>
            <w:hideMark/>
          </w:tcPr>
          <w:p w14:paraId="1CF0431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103,83</w:t>
            </w:r>
          </w:p>
        </w:tc>
      </w:tr>
      <w:tr w:rsidR="002F6D27" w:rsidRPr="002F6D27" w14:paraId="6F59326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EE58F0E"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2012</w:t>
            </w:r>
          </w:p>
        </w:tc>
        <w:tc>
          <w:tcPr>
            <w:tcW w:w="1352" w:type="dxa"/>
            <w:tcBorders>
              <w:top w:val="nil"/>
              <w:left w:val="nil"/>
              <w:bottom w:val="nil"/>
              <w:right w:val="single" w:sz="4" w:space="0" w:color="auto"/>
            </w:tcBorders>
            <w:shd w:val="clear" w:color="auto" w:fill="auto"/>
            <w:noWrap/>
            <w:vAlign w:val="bottom"/>
            <w:hideMark/>
          </w:tcPr>
          <w:p w14:paraId="77ADF52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67A20CA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105,94</w:t>
            </w:r>
          </w:p>
        </w:tc>
        <w:tc>
          <w:tcPr>
            <w:tcW w:w="1352" w:type="dxa"/>
            <w:tcBorders>
              <w:top w:val="nil"/>
              <w:left w:val="nil"/>
              <w:bottom w:val="nil"/>
              <w:right w:val="single" w:sz="4" w:space="0" w:color="auto"/>
            </w:tcBorders>
            <w:shd w:val="clear" w:color="auto" w:fill="auto"/>
            <w:noWrap/>
            <w:vAlign w:val="bottom"/>
            <w:hideMark/>
          </w:tcPr>
          <w:p w14:paraId="4ECCC49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209E2E0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105,91</w:t>
            </w:r>
          </w:p>
        </w:tc>
      </w:tr>
      <w:tr w:rsidR="002F6D27" w:rsidRPr="002F6D27" w14:paraId="69BAA309"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BEEEA5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2013</w:t>
            </w:r>
          </w:p>
        </w:tc>
        <w:tc>
          <w:tcPr>
            <w:tcW w:w="1352" w:type="dxa"/>
            <w:tcBorders>
              <w:top w:val="nil"/>
              <w:left w:val="nil"/>
              <w:bottom w:val="nil"/>
              <w:right w:val="single" w:sz="4" w:space="0" w:color="auto"/>
            </w:tcBorders>
            <w:shd w:val="clear" w:color="auto" w:fill="auto"/>
            <w:noWrap/>
            <w:vAlign w:val="bottom"/>
            <w:hideMark/>
          </w:tcPr>
          <w:p w14:paraId="27A1C8E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04A60F7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108,06</w:t>
            </w:r>
          </w:p>
        </w:tc>
        <w:tc>
          <w:tcPr>
            <w:tcW w:w="1352" w:type="dxa"/>
            <w:tcBorders>
              <w:top w:val="nil"/>
              <w:left w:val="nil"/>
              <w:bottom w:val="nil"/>
              <w:right w:val="single" w:sz="4" w:space="0" w:color="auto"/>
            </w:tcBorders>
            <w:shd w:val="clear" w:color="auto" w:fill="auto"/>
            <w:noWrap/>
            <w:vAlign w:val="bottom"/>
            <w:hideMark/>
          </w:tcPr>
          <w:p w14:paraId="71ABA96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618FEE6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108,03</w:t>
            </w:r>
          </w:p>
        </w:tc>
      </w:tr>
      <w:tr w:rsidR="002F6D27" w:rsidRPr="002F6D27" w14:paraId="76102B3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80D8F8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2014</w:t>
            </w:r>
          </w:p>
        </w:tc>
        <w:tc>
          <w:tcPr>
            <w:tcW w:w="1352" w:type="dxa"/>
            <w:tcBorders>
              <w:top w:val="nil"/>
              <w:left w:val="nil"/>
              <w:bottom w:val="nil"/>
              <w:right w:val="single" w:sz="4" w:space="0" w:color="auto"/>
            </w:tcBorders>
            <w:shd w:val="clear" w:color="auto" w:fill="auto"/>
            <w:noWrap/>
            <w:vAlign w:val="bottom"/>
            <w:hideMark/>
          </w:tcPr>
          <w:p w14:paraId="7B46E54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69D7F04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111,30</w:t>
            </w:r>
          </w:p>
        </w:tc>
        <w:tc>
          <w:tcPr>
            <w:tcW w:w="1352" w:type="dxa"/>
            <w:tcBorders>
              <w:top w:val="nil"/>
              <w:left w:val="nil"/>
              <w:bottom w:val="nil"/>
              <w:right w:val="single" w:sz="4" w:space="0" w:color="auto"/>
            </w:tcBorders>
            <w:shd w:val="clear" w:color="auto" w:fill="auto"/>
            <w:noWrap/>
            <w:vAlign w:val="bottom"/>
            <w:hideMark/>
          </w:tcPr>
          <w:p w14:paraId="1C2A835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25FD00B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111,27</w:t>
            </w:r>
          </w:p>
        </w:tc>
      </w:tr>
      <w:tr w:rsidR="002F6D27" w:rsidRPr="002F6D27" w14:paraId="1190928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557B20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2015</w:t>
            </w:r>
          </w:p>
        </w:tc>
        <w:tc>
          <w:tcPr>
            <w:tcW w:w="1352" w:type="dxa"/>
            <w:tcBorders>
              <w:top w:val="nil"/>
              <w:left w:val="nil"/>
              <w:bottom w:val="nil"/>
              <w:right w:val="single" w:sz="4" w:space="0" w:color="auto"/>
            </w:tcBorders>
            <w:shd w:val="clear" w:color="auto" w:fill="auto"/>
            <w:noWrap/>
            <w:vAlign w:val="bottom"/>
            <w:hideMark/>
          </w:tcPr>
          <w:p w14:paraId="7056965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44D20D2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114,64</w:t>
            </w:r>
          </w:p>
        </w:tc>
        <w:tc>
          <w:tcPr>
            <w:tcW w:w="1352" w:type="dxa"/>
            <w:tcBorders>
              <w:top w:val="nil"/>
              <w:left w:val="nil"/>
              <w:bottom w:val="nil"/>
              <w:right w:val="single" w:sz="4" w:space="0" w:color="auto"/>
            </w:tcBorders>
            <w:shd w:val="clear" w:color="auto" w:fill="auto"/>
            <w:noWrap/>
            <w:vAlign w:val="bottom"/>
            <w:hideMark/>
          </w:tcPr>
          <w:p w14:paraId="494F55B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0398A22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114,61</w:t>
            </w:r>
          </w:p>
        </w:tc>
      </w:tr>
      <w:tr w:rsidR="002F6D27" w:rsidRPr="002F6D27" w14:paraId="793BE20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250E90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2016</w:t>
            </w:r>
          </w:p>
        </w:tc>
        <w:tc>
          <w:tcPr>
            <w:tcW w:w="1352" w:type="dxa"/>
            <w:tcBorders>
              <w:top w:val="nil"/>
              <w:left w:val="nil"/>
              <w:bottom w:val="nil"/>
              <w:right w:val="single" w:sz="4" w:space="0" w:color="auto"/>
            </w:tcBorders>
            <w:shd w:val="clear" w:color="auto" w:fill="auto"/>
            <w:noWrap/>
            <w:vAlign w:val="bottom"/>
            <w:hideMark/>
          </w:tcPr>
          <w:p w14:paraId="25098C8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7A61448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117,85</w:t>
            </w:r>
          </w:p>
        </w:tc>
        <w:tc>
          <w:tcPr>
            <w:tcW w:w="1352" w:type="dxa"/>
            <w:tcBorders>
              <w:top w:val="nil"/>
              <w:left w:val="nil"/>
              <w:bottom w:val="nil"/>
              <w:right w:val="single" w:sz="4" w:space="0" w:color="auto"/>
            </w:tcBorders>
            <w:shd w:val="clear" w:color="auto" w:fill="auto"/>
            <w:noWrap/>
            <w:vAlign w:val="bottom"/>
            <w:hideMark/>
          </w:tcPr>
          <w:p w14:paraId="008DCF7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5B5C267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117,82</w:t>
            </w:r>
          </w:p>
        </w:tc>
      </w:tr>
      <w:tr w:rsidR="002F6D27" w:rsidRPr="002F6D27" w14:paraId="0E5E8ADC"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95BA441"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2017</w:t>
            </w:r>
          </w:p>
        </w:tc>
        <w:tc>
          <w:tcPr>
            <w:tcW w:w="1352" w:type="dxa"/>
            <w:tcBorders>
              <w:top w:val="nil"/>
              <w:left w:val="nil"/>
              <w:bottom w:val="nil"/>
              <w:right w:val="single" w:sz="4" w:space="0" w:color="auto"/>
            </w:tcBorders>
            <w:shd w:val="clear" w:color="auto" w:fill="auto"/>
            <w:noWrap/>
            <w:vAlign w:val="bottom"/>
            <w:hideMark/>
          </w:tcPr>
          <w:p w14:paraId="1BB9069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243E927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120,91</w:t>
            </w:r>
          </w:p>
        </w:tc>
        <w:tc>
          <w:tcPr>
            <w:tcW w:w="1352" w:type="dxa"/>
            <w:tcBorders>
              <w:top w:val="nil"/>
              <w:left w:val="nil"/>
              <w:bottom w:val="nil"/>
              <w:right w:val="single" w:sz="4" w:space="0" w:color="auto"/>
            </w:tcBorders>
            <w:shd w:val="clear" w:color="auto" w:fill="auto"/>
            <w:noWrap/>
            <w:vAlign w:val="bottom"/>
            <w:hideMark/>
          </w:tcPr>
          <w:p w14:paraId="0F84CCC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74AF911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120,88</w:t>
            </w:r>
          </w:p>
        </w:tc>
      </w:tr>
      <w:tr w:rsidR="002F6D27" w:rsidRPr="002F6D27" w14:paraId="2A6C6D6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C01C98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4B9C1A7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0,22</w:t>
            </w:r>
          </w:p>
        </w:tc>
        <w:tc>
          <w:tcPr>
            <w:tcW w:w="1238" w:type="dxa"/>
            <w:tcBorders>
              <w:top w:val="nil"/>
              <w:left w:val="nil"/>
              <w:bottom w:val="nil"/>
              <w:right w:val="double" w:sz="6" w:space="0" w:color="auto"/>
            </w:tcBorders>
            <w:shd w:val="clear" w:color="auto" w:fill="auto"/>
            <w:noWrap/>
            <w:vAlign w:val="bottom"/>
            <w:hideMark/>
          </w:tcPr>
          <w:p w14:paraId="3EAF9DA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121,18</w:t>
            </w:r>
          </w:p>
        </w:tc>
        <w:tc>
          <w:tcPr>
            <w:tcW w:w="1352" w:type="dxa"/>
            <w:tcBorders>
              <w:top w:val="nil"/>
              <w:left w:val="nil"/>
              <w:bottom w:val="nil"/>
              <w:right w:val="single" w:sz="4" w:space="0" w:color="auto"/>
            </w:tcBorders>
            <w:shd w:val="clear" w:color="auto" w:fill="auto"/>
            <w:noWrap/>
            <w:vAlign w:val="bottom"/>
            <w:hideMark/>
          </w:tcPr>
          <w:p w14:paraId="723FA40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0,19</w:t>
            </w:r>
          </w:p>
        </w:tc>
        <w:tc>
          <w:tcPr>
            <w:tcW w:w="1238" w:type="dxa"/>
            <w:tcBorders>
              <w:top w:val="nil"/>
              <w:left w:val="nil"/>
              <w:bottom w:val="nil"/>
              <w:right w:val="double" w:sz="6" w:space="0" w:color="auto"/>
            </w:tcBorders>
            <w:shd w:val="clear" w:color="auto" w:fill="auto"/>
            <w:noWrap/>
            <w:vAlign w:val="bottom"/>
            <w:hideMark/>
          </w:tcPr>
          <w:p w14:paraId="0E8549C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121,11</w:t>
            </w:r>
          </w:p>
        </w:tc>
      </w:tr>
      <w:tr w:rsidR="002F6D27" w:rsidRPr="002F6D27" w14:paraId="6424F0C0"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CACCF0C"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2018</w:t>
            </w:r>
          </w:p>
        </w:tc>
        <w:tc>
          <w:tcPr>
            <w:tcW w:w="1352" w:type="dxa"/>
            <w:tcBorders>
              <w:top w:val="nil"/>
              <w:left w:val="nil"/>
              <w:bottom w:val="nil"/>
              <w:right w:val="single" w:sz="4" w:space="0" w:color="auto"/>
            </w:tcBorders>
            <w:shd w:val="clear" w:color="auto" w:fill="auto"/>
            <w:noWrap/>
            <w:vAlign w:val="bottom"/>
            <w:hideMark/>
          </w:tcPr>
          <w:p w14:paraId="2C8FCAA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235EA44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125,06</w:t>
            </w:r>
          </w:p>
        </w:tc>
        <w:tc>
          <w:tcPr>
            <w:tcW w:w="1352" w:type="dxa"/>
            <w:tcBorders>
              <w:top w:val="nil"/>
              <w:left w:val="nil"/>
              <w:bottom w:val="nil"/>
              <w:right w:val="single" w:sz="4" w:space="0" w:color="auto"/>
            </w:tcBorders>
            <w:shd w:val="clear" w:color="auto" w:fill="auto"/>
            <w:noWrap/>
            <w:vAlign w:val="bottom"/>
            <w:hideMark/>
          </w:tcPr>
          <w:p w14:paraId="00D17E2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7FE08A4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124,98</w:t>
            </w:r>
          </w:p>
        </w:tc>
      </w:tr>
      <w:tr w:rsidR="002F6D27" w:rsidRPr="002F6D27" w14:paraId="41B07978"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834D4FB"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1DDB9C3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0,13</w:t>
            </w:r>
          </w:p>
        </w:tc>
        <w:tc>
          <w:tcPr>
            <w:tcW w:w="1238" w:type="dxa"/>
            <w:tcBorders>
              <w:top w:val="nil"/>
              <w:left w:val="nil"/>
              <w:bottom w:val="nil"/>
              <w:right w:val="double" w:sz="6" w:space="0" w:color="auto"/>
            </w:tcBorders>
            <w:shd w:val="clear" w:color="auto" w:fill="auto"/>
            <w:noWrap/>
            <w:vAlign w:val="bottom"/>
            <w:hideMark/>
          </w:tcPr>
          <w:p w14:paraId="0D04CDB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125,22</w:t>
            </w:r>
          </w:p>
        </w:tc>
        <w:tc>
          <w:tcPr>
            <w:tcW w:w="1352" w:type="dxa"/>
            <w:tcBorders>
              <w:top w:val="nil"/>
              <w:left w:val="nil"/>
              <w:bottom w:val="nil"/>
              <w:right w:val="single" w:sz="4" w:space="0" w:color="auto"/>
            </w:tcBorders>
            <w:shd w:val="clear" w:color="auto" w:fill="auto"/>
            <w:noWrap/>
            <w:vAlign w:val="bottom"/>
            <w:hideMark/>
          </w:tcPr>
          <w:p w14:paraId="0C548FE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0,12</w:t>
            </w:r>
          </w:p>
        </w:tc>
        <w:tc>
          <w:tcPr>
            <w:tcW w:w="1238" w:type="dxa"/>
            <w:tcBorders>
              <w:top w:val="nil"/>
              <w:left w:val="nil"/>
              <w:bottom w:val="nil"/>
              <w:right w:val="double" w:sz="6" w:space="0" w:color="auto"/>
            </w:tcBorders>
            <w:shd w:val="clear" w:color="auto" w:fill="auto"/>
            <w:noWrap/>
            <w:vAlign w:val="bottom"/>
            <w:hideMark/>
          </w:tcPr>
          <w:p w14:paraId="2320F05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125,13</w:t>
            </w:r>
          </w:p>
        </w:tc>
      </w:tr>
      <w:tr w:rsidR="002F6D27" w:rsidRPr="002F6D27" w14:paraId="649210F8"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2A30B7D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2019</w:t>
            </w:r>
          </w:p>
        </w:tc>
        <w:tc>
          <w:tcPr>
            <w:tcW w:w="1352" w:type="dxa"/>
            <w:tcBorders>
              <w:top w:val="nil"/>
              <w:left w:val="nil"/>
              <w:bottom w:val="nil"/>
              <w:right w:val="single" w:sz="4" w:space="0" w:color="auto"/>
            </w:tcBorders>
            <w:shd w:val="clear" w:color="auto" w:fill="auto"/>
            <w:noWrap/>
            <w:vAlign w:val="bottom"/>
            <w:hideMark/>
          </w:tcPr>
          <w:p w14:paraId="2A09F61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5B31DC2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130,60</w:t>
            </w:r>
          </w:p>
        </w:tc>
        <w:tc>
          <w:tcPr>
            <w:tcW w:w="1352" w:type="dxa"/>
            <w:tcBorders>
              <w:top w:val="nil"/>
              <w:left w:val="nil"/>
              <w:bottom w:val="nil"/>
              <w:right w:val="single" w:sz="4" w:space="0" w:color="auto"/>
            </w:tcBorders>
            <w:shd w:val="clear" w:color="auto" w:fill="auto"/>
            <w:noWrap/>
            <w:vAlign w:val="bottom"/>
            <w:hideMark/>
          </w:tcPr>
          <w:p w14:paraId="22D7357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352B98C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130,51</w:t>
            </w:r>
          </w:p>
        </w:tc>
      </w:tr>
      <w:tr w:rsidR="002F6D27" w:rsidRPr="002F6D27" w14:paraId="2F709BB6" w14:textId="77777777" w:rsidTr="002F6D27">
        <w:trPr>
          <w:trHeight w:val="276"/>
        </w:trPr>
        <w:tc>
          <w:tcPr>
            <w:tcW w:w="1240" w:type="dxa"/>
            <w:tcBorders>
              <w:top w:val="single" w:sz="8" w:space="0" w:color="auto"/>
              <w:left w:val="double" w:sz="6" w:space="0" w:color="auto"/>
              <w:bottom w:val="double" w:sz="6" w:space="0" w:color="auto"/>
              <w:right w:val="double" w:sz="6" w:space="0" w:color="auto"/>
            </w:tcBorders>
            <w:shd w:val="clear" w:color="auto" w:fill="auto"/>
            <w:noWrap/>
            <w:vAlign w:val="bottom"/>
            <w:hideMark/>
          </w:tcPr>
          <w:p w14:paraId="52A1D6C7"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25B98495"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59201E5F"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30,60</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4039FEF9"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0BF775D8"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30,51</w:t>
            </w:r>
          </w:p>
        </w:tc>
      </w:tr>
    </w:tbl>
    <w:p w14:paraId="7020DC6F" w14:textId="37B574FA" w:rsidR="002F6D27" w:rsidRDefault="002F6D27" w:rsidP="00503386">
      <w:pPr>
        <w:overflowPunct/>
        <w:spacing w:line="276" w:lineRule="auto"/>
        <w:ind w:left="2832"/>
        <w:textAlignment w:val="auto"/>
        <w:rPr>
          <w:rFonts w:ascii="Arial" w:eastAsia="Calibri" w:hAnsi="Arial" w:cs="Arial"/>
          <w:sz w:val="24"/>
          <w:szCs w:val="24"/>
          <w:lang w:eastAsia="en-US"/>
        </w:rPr>
      </w:pPr>
    </w:p>
    <w:p w14:paraId="03E5546B" w14:textId="05888E78" w:rsidR="00AE615C" w:rsidRDefault="001003ED" w:rsidP="00503386">
      <w:pPr>
        <w:overflowPunct/>
        <w:spacing w:line="276" w:lineRule="auto"/>
        <w:jc w:val="both"/>
        <w:textAlignment w:val="auto"/>
        <w:rPr>
          <w:rFonts w:ascii="Arial" w:eastAsia="Calibri" w:hAnsi="Arial" w:cs="Arial"/>
          <w:sz w:val="24"/>
          <w:szCs w:val="24"/>
          <w:lang w:eastAsia="en-US"/>
        </w:rPr>
      </w:pPr>
      <w:r w:rsidRPr="002C0A87">
        <w:rPr>
          <w:rFonts w:ascii="Arial" w:eastAsia="Calibri" w:hAnsi="Arial" w:cs="Arial"/>
          <w:sz w:val="24"/>
          <w:szCs w:val="24"/>
          <w:lang w:eastAsia="en-US"/>
        </w:rPr>
        <w:t>(5) Im Zeitraum 200</w:t>
      </w:r>
      <w:r w:rsidR="002C0A87" w:rsidRPr="002C0A87">
        <w:rPr>
          <w:rFonts w:ascii="Arial" w:eastAsia="Calibri" w:hAnsi="Arial" w:cs="Arial"/>
          <w:sz w:val="24"/>
          <w:szCs w:val="24"/>
          <w:lang w:eastAsia="en-US"/>
        </w:rPr>
        <w:t>5</w:t>
      </w:r>
      <w:r w:rsidRPr="002C0A87">
        <w:rPr>
          <w:rFonts w:ascii="Arial" w:eastAsia="Calibri" w:hAnsi="Arial" w:cs="Arial"/>
          <w:sz w:val="24"/>
          <w:szCs w:val="24"/>
          <w:lang w:eastAsia="en-US"/>
        </w:rPr>
        <w:t xml:space="preserve"> bis 20</w:t>
      </w:r>
      <w:r w:rsidR="002C0A87" w:rsidRPr="002C0A87">
        <w:rPr>
          <w:rFonts w:ascii="Arial" w:eastAsia="Calibri" w:hAnsi="Arial" w:cs="Arial"/>
          <w:sz w:val="24"/>
          <w:szCs w:val="24"/>
          <w:lang w:eastAsia="en-US"/>
        </w:rPr>
        <w:t>20</w:t>
      </w:r>
      <w:r w:rsidRPr="002C0A87">
        <w:rPr>
          <w:rFonts w:ascii="Arial" w:eastAsia="Calibri" w:hAnsi="Arial" w:cs="Arial"/>
          <w:sz w:val="24"/>
          <w:szCs w:val="24"/>
          <w:lang w:eastAsia="en-US"/>
        </w:rPr>
        <w:t xml:space="preserve"> stieg die Besoldung der Besoldungsgruppe R</w:t>
      </w:r>
      <w:r w:rsidR="002A3910">
        <w:rPr>
          <w:rFonts w:ascii="Arial" w:eastAsia="Calibri" w:hAnsi="Arial" w:cs="Arial"/>
          <w:sz w:val="24"/>
          <w:szCs w:val="24"/>
          <w:lang w:eastAsia="en-US"/>
        </w:rPr>
        <w:t xml:space="preserve"> </w:t>
      </w:r>
      <w:r w:rsidRPr="002C0A87">
        <w:rPr>
          <w:rFonts w:ascii="Arial" w:eastAsia="Calibri" w:hAnsi="Arial" w:cs="Arial"/>
          <w:sz w:val="24"/>
          <w:szCs w:val="24"/>
          <w:lang w:eastAsia="en-US"/>
        </w:rPr>
        <w:t>1 um 3</w:t>
      </w:r>
      <w:r w:rsidR="002F6D27">
        <w:rPr>
          <w:rFonts w:ascii="Arial" w:eastAsia="Calibri" w:hAnsi="Arial" w:cs="Arial"/>
          <w:sz w:val="24"/>
          <w:szCs w:val="24"/>
          <w:lang w:eastAsia="en-US"/>
        </w:rPr>
        <w:t>6,22</w:t>
      </w:r>
      <w:r w:rsidR="009C3A01">
        <w:rPr>
          <w:rFonts w:ascii="Arial" w:eastAsia="Calibri" w:hAnsi="Arial" w:cs="Arial"/>
          <w:sz w:val="24"/>
          <w:szCs w:val="24"/>
          <w:lang w:eastAsia="en-US"/>
        </w:rPr>
        <w:t xml:space="preserve"> </w:t>
      </w:r>
      <w:r w:rsidR="002C0A87" w:rsidRPr="002C0A87">
        <w:rPr>
          <w:rFonts w:ascii="Arial" w:eastAsia="Calibri" w:hAnsi="Arial" w:cs="Arial"/>
          <w:sz w:val="24"/>
          <w:szCs w:val="24"/>
          <w:lang w:eastAsia="en-US"/>
        </w:rPr>
        <w:t>%</w:t>
      </w:r>
      <w:r w:rsidR="00AE615C">
        <w:rPr>
          <w:rFonts w:ascii="Arial" w:eastAsia="Calibri" w:hAnsi="Arial" w:cs="Arial"/>
          <w:sz w:val="24"/>
          <w:szCs w:val="24"/>
          <w:lang w:eastAsia="en-US"/>
        </w:rPr>
        <w:t xml:space="preserve"> </w:t>
      </w:r>
      <w:r w:rsidR="00AE615C" w:rsidRPr="005855E3">
        <w:rPr>
          <w:rFonts w:ascii="Arial" w:eastAsia="Calibri" w:hAnsi="Arial" w:cs="Arial"/>
          <w:sz w:val="24"/>
          <w:szCs w:val="24"/>
          <w:lang w:eastAsia="en-US"/>
        </w:rPr>
        <w:t xml:space="preserve">und diejenige der Besoldungsgruppe R 2 um </w:t>
      </w:r>
      <w:r w:rsidR="001B2959">
        <w:rPr>
          <w:rFonts w:ascii="Arial" w:eastAsia="Calibri" w:hAnsi="Arial" w:cs="Arial"/>
          <w:sz w:val="24"/>
          <w:szCs w:val="24"/>
          <w:lang w:eastAsia="en-US"/>
        </w:rPr>
        <w:t>3</w:t>
      </w:r>
      <w:r w:rsidR="002F6D27">
        <w:rPr>
          <w:rFonts w:ascii="Arial" w:eastAsia="Calibri" w:hAnsi="Arial" w:cs="Arial"/>
          <w:sz w:val="24"/>
          <w:szCs w:val="24"/>
          <w:lang w:eastAsia="en-US"/>
        </w:rPr>
        <w:t>6,13</w:t>
      </w:r>
      <w:r w:rsidR="00AE615C" w:rsidRPr="005855E3">
        <w:rPr>
          <w:rFonts w:ascii="Arial" w:eastAsia="Calibri" w:hAnsi="Arial" w:cs="Arial"/>
          <w:sz w:val="24"/>
          <w:szCs w:val="24"/>
          <w:lang w:eastAsia="en-US"/>
        </w:rPr>
        <w:t xml:space="preserve"> %.</w:t>
      </w:r>
    </w:p>
    <w:p w14:paraId="606C2783" w14:textId="0C17A7B5" w:rsidR="001003ED" w:rsidRDefault="001003ED" w:rsidP="00503386">
      <w:pPr>
        <w:overflowPunct/>
        <w:spacing w:line="276" w:lineRule="auto"/>
        <w:ind w:left="2124"/>
        <w:textAlignment w:val="auto"/>
        <w:rPr>
          <w:rFonts w:ascii="Arial" w:eastAsia="Calibri" w:hAnsi="Arial" w:cs="Arial"/>
          <w:sz w:val="24"/>
          <w:szCs w:val="24"/>
          <w:lang w:eastAsia="en-US"/>
        </w:rPr>
      </w:pPr>
    </w:p>
    <w:tbl>
      <w:tblPr>
        <w:tblW w:w="6420" w:type="dxa"/>
        <w:tblInd w:w="801" w:type="dxa"/>
        <w:tblCellMar>
          <w:left w:w="70" w:type="dxa"/>
          <w:right w:w="70" w:type="dxa"/>
        </w:tblCellMar>
        <w:tblLook w:val="04A0" w:firstRow="1" w:lastRow="0" w:firstColumn="1" w:lastColumn="0" w:noHBand="0" w:noVBand="1"/>
      </w:tblPr>
      <w:tblGrid>
        <w:gridCol w:w="1240"/>
        <w:gridCol w:w="1352"/>
        <w:gridCol w:w="1238"/>
        <w:gridCol w:w="1352"/>
        <w:gridCol w:w="1238"/>
      </w:tblGrid>
      <w:tr w:rsidR="002F6D27" w:rsidRPr="002F6D27" w14:paraId="1C46CB7A" w14:textId="77777777" w:rsidTr="002F6D27">
        <w:trPr>
          <w:trHeight w:val="288"/>
        </w:trPr>
        <w:tc>
          <w:tcPr>
            <w:tcW w:w="124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611E8AC5"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6BBE9350"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R1</w:t>
            </w:r>
          </w:p>
        </w:tc>
        <w:tc>
          <w:tcPr>
            <w:tcW w:w="259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0926458C" w14:textId="77777777" w:rsidR="002F6D27" w:rsidRPr="002F6D27" w:rsidRDefault="002F6D27" w:rsidP="002F6D27">
            <w:pPr>
              <w:overflowPunct/>
              <w:autoSpaceDE/>
              <w:autoSpaceDN/>
              <w:adjustRightInd/>
              <w:textAlignment w:val="auto"/>
              <w:rPr>
                <w:rFonts w:ascii="Arial" w:hAnsi="Arial" w:cs="Arial"/>
                <w:b/>
                <w:bCs/>
                <w:color w:val="000000"/>
              </w:rPr>
            </w:pPr>
            <w:r w:rsidRPr="002F6D27">
              <w:rPr>
                <w:rFonts w:ascii="Arial" w:hAnsi="Arial" w:cs="Arial"/>
                <w:b/>
                <w:bCs/>
                <w:color w:val="000000"/>
              </w:rPr>
              <w:t>Besoldungsgruppe R2</w:t>
            </w:r>
          </w:p>
        </w:tc>
      </w:tr>
      <w:tr w:rsidR="002F6D27" w:rsidRPr="002F6D27" w14:paraId="1990E452" w14:textId="77777777" w:rsidTr="002F6D27">
        <w:trPr>
          <w:trHeight w:val="540"/>
        </w:trPr>
        <w:tc>
          <w:tcPr>
            <w:tcW w:w="1240" w:type="dxa"/>
            <w:tcBorders>
              <w:top w:val="nil"/>
              <w:left w:val="double" w:sz="6" w:space="0" w:color="auto"/>
              <w:bottom w:val="double" w:sz="6" w:space="0" w:color="auto"/>
              <w:right w:val="double" w:sz="6" w:space="0" w:color="auto"/>
            </w:tcBorders>
            <w:shd w:val="clear" w:color="auto" w:fill="auto"/>
            <w:noWrap/>
            <w:vAlign w:val="center"/>
            <w:hideMark/>
          </w:tcPr>
          <w:p w14:paraId="62F8C2F6"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 </w:t>
            </w:r>
          </w:p>
        </w:tc>
        <w:tc>
          <w:tcPr>
            <w:tcW w:w="1352" w:type="dxa"/>
            <w:tcBorders>
              <w:top w:val="nil"/>
              <w:left w:val="nil"/>
              <w:bottom w:val="double" w:sz="6" w:space="0" w:color="auto"/>
              <w:right w:val="single" w:sz="4" w:space="0" w:color="auto"/>
            </w:tcBorders>
            <w:shd w:val="clear" w:color="auto" w:fill="auto"/>
            <w:vAlign w:val="center"/>
            <w:hideMark/>
          </w:tcPr>
          <w:p w14:paraId="7C5C47AE"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7B36E920"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c>
          <w:tcPr>
            <w:tcW w:w="1352" w:type="dxa"/>
            <w:tcBorders>
              <w:top w:val="nil"/>
              <w:left w:val="nil"/>
              <w:bottom w:val="double" w:sz="6" w:space="0" w:color="auto"/>
              <w:right w:val="single" w:sz="4" w:space="0" w:color="auto"/>
            </w:tcBorders>
            <w:shd w:val="clear" w:color="auto" w:fill="auto"/>
            <w:vAlign w:val="center"/>
            <w:hideMark/>
          </w:tcPr>
          <w:p w14:paraId="049A67D7"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Besoldungs-erhöhung</w:t>
            </w:r>
          </w:p>
        </w:tc>
        <w:tc>
          <w:tcPr>
            <w:tcW w:w="1238" w:type="dxa"/>
            <w:tcBorders>
              <w:top w:val="nil"/>
              <w:left w:val="nil"/>
              <w:bottom w:val="double" w:sz="6" w:space="0" w:color="auto"/>
              <w:right w:val="double" w:sz="6" w:space="0" w:color="auto"/>
            </w:tcBorders>
            <w:shd w:val="clear" w:color="auto" w:fill="auto"/>
            <w:vAlign w:val="center"/>
            <w:hideMark/>
          </w:tcPr>
          <w:p w14:paraId="328E5648" w14:textId="77777777" w:rsidR="002F6D27" w:rsidRPr="002F6D27" w:rsidRDefault="002F6D27" w:rsidP="002F6D27">
            <w:pPr>
              <w:overflowPunct/>
              <w:autoSpaceDE/>
              <w:autoSpaceDN/>
              <w:adjustRightInd/>
              <w:jc w:val="center"/>
              <w:textAlignment w:val="auto"/>
              <w:rPr>
                <w:rFonts w:ascii="Arial" w:hAnsi="Arial" w:cs="Arial"/>
                <w:b/>
                <w:bCs/>
                <w:color w:val="000000"/>
              </w:rPr>
            </w:pPr>
            <w:r w:rsidRPr="002F6D27">
              <w:rPr>
                <w:rFonts w:ascii="Arial" w:hAnsi="Arial" w:cs="Arial"/>
                <w:b/>
                <w:bCs/>
                <w:color w:val="000000"/>
              </w:rPr>
              <w:t>Index</w:t>
            </w:r>
          </w:p>
        </w:tc>
      </w:tr>
      <w:tr w:rsidR="002F6D27" w:rsidRPr="002F6D27" w14:paraId="67968EEF"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6693E14C"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2005</w:t>
            </w:r>
          </w:p>
        </w:tc>
        <w:tc>
          <w:tcPr>
            <w:tcW w:w="1352" w:type="dxa"/>
            <w:tcBorders>
              <w:top w:val="nil"/>
              <w:left w:val="nil"/>
              <w:bottom w:val="nil"/>
              <w:right w:val="single" w:sz="4" w:space="0" w:color="auto"/>
            </w:tcBorders>
            <w:shd w:val="clear" w:color="auto" w:fill="auto"/>
            <w:noWrap/>
            <w:vAlign w:val="bottom"/>
            <w:hideMark/>
          </w:tcPr>
          <w:p w14:paraId="523713B3"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25FB93D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3F647D52"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nil"/>
              <w:left w:val="nil"/>
              <w:bottom w:val="nil"/>
              <w:right w:val="double" w:sz="6" w:space="0" w:color="auto"/>
            </w:tcBorders>
            <w:shd w:val="clear" w:color="auto" w:fill="auto"/>
            <w:noWrap/>
            <w:vAlign w:val="bottom"/>
            <w:hideMark/>
          </w:tcPr>
          <w:p w14:paraId="0D288C2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48CB5813"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5F658F1"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2006</w:t>
            </w:r>
          </w:p>
        </w:tc>
        <w:tc>
          <w:tcPr>
            <w:tcW w:w="1352" w:type="dxa"/>
            <w:tcBorders>
              <w:top w:val="nil"/>
              <w:left w:val="nil"/>
              <w:bottom w:val="nil"/>
              <w:right w:val="single" w:sz="4" w:space="0" w:color="auto"/>
            </w:tcBorders>
            <w:shd w:val="clear" w:color="auto" w:fill="auto"/>
            <w:noWrap/>
            <w:vAlign w:val="bottom"/>
            <w:hideMark/>
          </w:tcPr>
          <w:p w14:paraId="26BEE18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3DED8E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1734D09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6034130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4979D475"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BFEAAE4"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2007</w:t>
            </w:r>
          </w:p>
        </w:tc>
        <w:tc>
          <w:tcPr>
            <w:tcW w:w="1352" w:type="dxa"/>
            <w:tcBorders>
              <w:top w:val="nil"/>
              <w:left w:val="nil"/>
              <w:bottom w:val="nil"/>
              <w:right w:val="single" w:sz="4" w:space="0" w:color="auto"/>
            </w:tcBorders>
            <w:shd w:val="clear" w:color="auto" w:fill="auto"/>
            <w:noWrap/>
            <w:vAlign w:val="bottom"/>
            <w:hideMark/>
          </w:tcPr>
          <w:p w14:paraId="33EECC7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6B25B5D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20BDA1B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25F1D4B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6340374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1D868E4"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2008</w:t>
            </w:r>
          </w:p>
        </w:tc>
        <w:tc>
          <w:tcPr>
            <w:tcW w:w="1352" w:type="dxa"/>
            <w:tcBorders>
              <w:top w:val="nil"/>
              <w:left w:val="nil"/>
              <w:bottom w:val="nil"/>
              <w:right w:val="single" w:sz="4" w:space="0" w:color="auto"/>
            </w:tcBorders>
            <w:shd w:val="clear" w:color="auto" w:fill="auto"/>
            <w:noWrap/>
            <w:vAlign w:val="bottom"/>
            <w:hideMark/>
          </w:tcPr>
          <w:p w14:paraId="463CCB3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254DF04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100,49</w:t>
            </w:r>
          </w:p>
        </w:tc>
        <w:tc>
          <w:tcPr>
            <w:tcW w:w="1352" w:type="dxa"/>
            <w:tcBorders>
              <w:top w:val="nil"/>
              <w:left w:val="nil"/>
              <w:bottom w:val="nil"/>
              <w:right w:val="single" w:sz="4" w:space="0" w:color="auto"/>
            </w:tcBorders>
            <w:shd w:val="clear" w:color="auto" w:fill="auto"/>
            <w:noWrap/>
            <w:vAlign w:val="bottom"/>
            <w:hideMark/>
          </w:tcPr>
          <w:p w14:paraId="3A06A23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2B89DF1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100,45</w:t>
            </w:r>
          </w:p>
        </w:tc>
      </w:tr>
      <w:tr w:rsidR="002F6D27" w:rsidRPr="002F6D27" w14:paraId="3B91F2EF"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1960C18"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2009</w:t>
            </w:r>
          </w:p>
        </w:tc>
        <w:tc>
          <w:tcPr>
            <w:tcW w:w="1352" w:type="dxa"/>
            <w:tcBorders>
              <w:top w:val="nil"/>
              <w:left w:val="nil"/>
              <w:bottom w:val="nil"/>
              <w:right w:val="single" w:sz="4" w:space="0" w:color="auto"/>
            </w:tcBorders>
            <w:shd w:val="clear" w:color="auto" w:fill="auto"/>
            <w:noWrap/>
            <w:vAlign w:val="bottom"/>
            <w:hideMark/>
          </w:tcPr>
          <w:p w14:paraId="645AB20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066BE6E6"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100,49</w:t>
            </w:r>
          </w:p>
        </w:tc>
        <w:tc>
          <w:tcPr>
            <w:tcW w:w="1352" w:type="dxa"/>
            <w:tcBorders>
              <w:top w:val="nil"/>
              <w:left w:val="nil"/>
              <w:bottom w:val="nil"/>
              <w:right w:val="single" w:sz="4" w:space="0" w:color="auto"/>
            </w:tcBorders>
            <w:shd w:val="clear" w:color="auto" w:fill="auto"/>
            <w:noWrap/>
            <w:vAlign w:val="bottom"/>
            <w:hideMark/>
          </w:tcPr>
          <w:p w14:paraId="7485B5C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0,00</w:t>
            </w:r>
          </w:p>
        </w:tc>
        <w:tc>
          <w:tcPr>
            <w:tcW w:w="1238" w:type="dxa"/>
            <w:tcBorders>
              <w:top w:val="nil"/>
              <w:left w:val="nil"/>
              <w:bottom w:val="nil"/>
              <w:right w:val="double" w:sz="6" w:space="0" w:color="auto"/>
            </w:tcBorders>
            <w:shd w:val="clear" w:color="auto" w:fill="auto"/>
            <w:noWrap/>
            <w:vAlign w:val="bottom"/>
            <w:hideMark/>
          </w:tcPr>
          <w:p w14:paraId="489C9F2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100,45</w:t>
            </w:r>
          </w:p>
        </w:tc>
      </w:tr>
      <w:tr w:rsidR="002F6D27" w:rsidRPr="002F6D27" w14:paraId="3985094E"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9217FE8"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2010</w:t>
            </w:r>
          </w:p>
        </w:tc>
        <w:tc>
          <w:tcPr>
            <w:tcW w:w="1352" w:type="dxa"/>
            <w:tcBorders>
              <w:top w:val="nil"/>
              <w:left w:val="nil"/>
              <w:bottom w:val="nil"/>
              <w:right w:val="single" w:sz="4" w:space="0" w:color="auto"/>
            </w:tcBorders>
            <w:shd w:val="clear" w:color="auto" w:fill="auto"/>
            <w:noWrap/>
            <w:vAlign w:val="bottom"/>
            <w:hideMark/>
          </w:tcPr>
          <w:p w14:paraId="4534D34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-0,49</w:t>
            </w:r>
          </w:p>
        </w:tc>
        <w:tc>
          <w:tcPr>
            <w:tcW w:w="1238" w:type="dxa"/>
            <w:tcBorders>
              <w:top w:val="nil"/>
              <w:left w:val="nil"/>
              <w:bottom w:val="nil"/>
              <w:right w:val="double" w:sz="6" w:space="0" w:color="auto"/>
            </w:tcBorders>
            <w:shd w:val="clear" w:color="auto" w:fill="auto"/>
            <w:noWrap/>
            <w:vAlign w:val="bottom"/>
            <w:hideMark/>
          </w:tcPr>
          <w:p w14:paraId="169934A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c>
          <w:tcPr>
            <w:tcW w:w="1352" w:type="dxa"/>
            <w:tcBorders>
              <w:top w:val="nil"/>
              <w:left w:val="nil"/>
              <w:bottom w:val="nil"/>
              <w:right w:val="single" w:sz="4" w:space="0" w:color="auto"/>
            </w:tcBorders>
            <w:shd w:val="clear" w:color="auto" w:fill="auto"/>
            <w:noWrap/>
            <w:vAlign w:val="bottom"/>
            <w:hideMark/>
          </w:tcPr>
          <w:p w14:paraId="0E852AC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-0,45</w:t>
            </w:r>
          </w:p>
        </w:tc>
        <w:tc>
          <w:tcPr>
            <w:tcW w:w="1238" w:type="dxa"/>
            <w:tcBorders>
              <w:top w:val="nil"/>
              <w:left w:val="nil"/>
              <w:bottom w:val="nil"/>
              <w:right w:val="double" w:sz="6" w:space="0" w:color="auto"/>
            </w:tcBorders>
            <w:shd w:val="clear" w:color="auto" w:fill="auto"/>
            <w:noWrap/>
            <w:vAlign w:val="bottom"/>
            <w:hideMark/>
          </w:tcPr>
          <w:p w14:paraId="25C60A4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100,00</w:t>
            </w:r>
          </w:p>
        </w:tc>
      </w:tr>
      <w:tr w:rsidR="002F6D27" w:rsidRPr="002F6D27" w14:paraId="3489110A"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FC2C21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2D9BB9A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4A2E0D5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101,50</w:t>
            </w:r>
          </w:p>
        </w:tc>
        <w:tc>
          <w:tcPr>
            <w:tcW w:w="1352" w:type="dxa"/>
            <w:tcBorders>
              <w:top w:val="nil"/>
              <w:left w:val="nil"/>
              <w:bottom w:val="nil"/>
              <w:right w:val="single" w:sz="4" w:space="0" w:color="auto"/>
            </w:tcBorders>
            <w:shd w:val="clear" w:color="auto" w:fill="auto"/>
            <w:noWrap/>
            <w:vAlign w:val="bottom"/>
            <w:hideMark/>
          </w:tcPr>
          <w:p w14:paraId="63C29BF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1,50</w:t>
            </w:r>
          </w:p>
        </w:tc>
        <w:tc>
          <w:tcPr>
            <w:tcW w:w="1238" w:type="dxa"/>
            <w:tcBorders>
              <w:top w:val="nil"/>
              <w:left w:val="nil"/>
              <w:bottom w:val="nil"/>
              <w:right w:val="double" w:sz="6" w:space="0" w:color="auto"/>
            </w:tcBorders>
            <w:shd w:val="clear" w:color="auto" w:fill="auto"/>
            <w:noWrap/>
            <w:vAlign w:val="bottom"/>
            <w:hideMark/>
          </w:tcPr>
          <w:p w14:paraId="3BE753D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101,50</w:t>
            </w:r>
          </w:p>
        </w:tc>
      </w:tr>
      <w:tr w:rsidR="002F6D27" w:rsidRPr="002F6D27" w14:paraId="7EE3F554"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95F789D"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2011</w:t>
            </w:r>
          </w:p>
        </w:tc>
        <w:tc>
          <w:tcPr>
            <w:tcW w:w="1352" w:type="dxa"/>
            <w:tcBorders>
              <w:top w:val="nil"/>
              <w:left w:val="nil"/>
              <w:bottom w:val="nil"/>
              <w:right w:val="single" w:sz="4" w:space="0" w:color="auto"/>
            </w:tcBorders>
            <w:shd w:val="clear" w:color="auto" w:fill="auto"/>
            <w:noWrap/>
            <w:vAlign w:val="bottom"/>
            <w:hideMark/>
          </w:tcPr>
          <w:p w14:paraId="2EA2D98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2,33</w:t>
            </w:r>
          </w:p>
        </w:tc>
        <w:tc>
          <w:tcPr>
            <w:tcW w:w="1238" w:type="dxa"/>
            <w:tcBorders>
              <w:top w:val="nil"/>
              <w:left w:val="nil"/>
              <w:bottom w:val="nil"/>
              <w:right w:val="double" w:sz="6" w:space="0" w:color="auto"/>
            </w:tcBorders>
            <w:shd w:val="clear" w:color="auto" w:fill="auto"/>
            <w:noWrap/>
            <w:vAlign w:val="bottom"/>
            <w:hideMark/>
          </w:tcPr>
          <w:p w14:paraId="3880F11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103,86</w:t>
            </w:r>
          </w:p>
        </w:tc>
        <w:tc>
          <w:tcPr>
            <w:tcW w:w="1352" w:type="dxa"/>
            <w:tcBorders>
              <w:top w:val="nil"/>
              <w:left w:val="nil"/>
              <w:bottom w:val="nil"/>
              <w:right w:val="single" w:sz="4" w:space="0" w:color="auto"/>
            </w:tcBorders>
            <w:shd w:val="clear" w:color="auto" w:fill="auto"/>
            <w:noWrap/>
            <w:vAlign w:val="bottom"/>
            <w:hideMark/>
          </w:tcPr>
          <w:p w14:paraId="45AE6E7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2,30</w:t>
            </w:r>
          </w:p>
        </w:tc>
        <w:tc>
          <w:tcPr>
            <w:tcW w:w="1238" w:type="dxa"/>
            <w:tcBorders>
              <w:top w:val="nil"/>
              <w:left w:val="nil"/>
              <w:bottom w:val="nil"/>
              <w:right w:val="double" w:sz="6" w:space="0" w:color="auto"/>
            </w:tcBorders>
            <w:shd w:val="clear" w:color="auto" w:fill="auto"/>
            <w:noWrap/>
            <w:vAlign w:val="bottom"/>
            <w:hideMark/>
          </w:tcPr>
          <w:p w14:paraId="4FD0233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103,83</w:t>
            </w:r>
          </w:p>
        </w:tc>
      </w:tr>
      <w:tr w:rsidR="002F6D27" w:rsidRPr="002F6D27" w14:paraId="6F6D7DEC"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0A479D7E"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2012</w:t>
            </w:r>
          </w:p>
        </w:tc>
        <w:tc>
          <w:tcPr>
            <w:tcW w:w="1352" w:type="dxa"/>
            <w:tcBorders>
              <w:top w:val="nil"/>
              <w:left w:val="nil"/>
              <w:bottom w:val="nil"/>
              <w:right w:val="single" w:sz="4" w:space="0" w:color="auto"/>
            </w:tcBorders>
            <w:shd w:val="clear" w:color="auto" w:fill="auto"/>
            <w:noWrap/>
            <w:vAlign w:val="bottom"/>
            <w:hideMark/>
          </w:tcPr>
          <w:p w14:paraId="7871958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38835DE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105,94</w:t>
            </w:r>
          </w:p>
        </w:tc>
        <w:tc>
          <w:tcPr>
            <w:tcW w:w="1352" w:type="dxa"/>
            <w:tcBorders>
              <w:top w:val="nil"/>
              <w:left w:val="nil"/>
              <w:bottom w:val="nil"/>
              <w:right w:val="single" w:sz="4" w:space="0" w:color="auto"/>
            </w:tcBorders>
            <w:shd w:val="clear" w:color="auto" w:fill="auto"/>
            <w:noWrap/>
            <w:vAlign w:val="bottom"/>
            <w:hideMark/>
          </w:tcPr>
          <w:p w14:paraId="22B711F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6438BB1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105,91</w:t>
            </w:r>
          </w:p>
        </w:tc>
      </w:tr>
      <w:tr w:rsidR="002F6D27" w:rsidRPr="002F6D27" w14:paraId="3FE969F8"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5684C58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2013</w:t>
            </w:r>
          </w:p>
        </w:tc>
        <w:tc>
          <w:tcPr>
            <w:tcW w:w="1352" w:type="dxa"/>
            <w:tcBorders>
              <w:top w:val="nil"/>
              <w:left w:val="nil"/>
              <w:bottom w:val="nil"/>
              <w:right w:val="single" w:sz="4" w:space="0" w:color="auto"/>
            </w:tcBorders>
            <w:shd w:val="clear" w:color="auto" w:fill="auto"/>
            <w:noWrap/>
            <w:vAlign w:val="bottom"/>
            <w:hideMark/>
          </w:tcPr>
          <w:p w14:paraId="3E9A195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38CA136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108,06</w:t>
            </w:r>
          </w:p>
        </w:tc>
        <w:tc>
          <w:tcPr>
            <w:tcW w:w="1352" w:type="dxa"/>
            <w:tcBorders>
              <w:top w:val="nil"/>
              <w:left w:val="nil"/>
              <w:bottom w:val="nil"/>
              <w:right w:val="single" w:sz="4" w:space="0" w:color="auto"/>
            </w:tcBorders>
            <w:shd w:val="clear" w:color="auto" w:fill="auto"/>
            <w:noWrap/>
            <w:vAlign w:val="bottom"/>
            <w:hideMark/>
          </w:tcPr>
          <w:p w14:paraId="3B56AA7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2,00</w:t>
            </w:r>
          </w:p>
        </w:tc>
        <w:tc>
          <w:tcPr>
            <w:tcW w:w="1238" w:type="dxa"/>
            <w:tcBorders>
              <w:top w:val="nil"/>
              <w:left w:val="nil"/>
              <w:bottom w:val="nil"/>
              <w:right w:val="double" w:sz="6" w:space="0" w:color="auto"/>
            </w:tcBorders>
            <w:shd w:val="clear" w:color="auto" w:fill="auto"/>
            <w:noWrap/>
            <w:vAlign w:val="bottom"/>
            <w:hideMark/>
          </w:tcPr>
          <w:p w14:paraId="06D54CA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108,03</w:t>
            </w:r>
          </w:p>
        </w:tc>
      </w:tr>
      <w:tr w:rsidR="002F6D27" w:rsidRPr="002F6D27" w14:paraId="20BAEB37"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89332BF"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2014</w:t>
            </w:r>
          </w:p>
        </w:tc>
        <w:tc>
          <w:tcPr>
            <w:tcW w:w="1352" w:type="dxa"/>
            <w:tcBorders>
              <w:top w:val="nil"/>
              <w:left w:val="nil"/>
              <w:bottom w:val="nil"/>
              <w:right w:val="single" w:sz="4" w:space="0" w:color="auto"/>
            </w:tcBorders>
            <w:shd w:val="clear" w:color="auto" w:fill="auto"/>
            <w:noWrap/>
            <w:vAlign w:val="bottom"/>
            <w:hideMark/>
          </w:tcPr>
          <w:p w14:paraId="420EB98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49F1534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111,30</w:t>
            </w:r>
          </w:p>
        </w:tc>
        <w:tc>
          <w:tcPr>
            <w:tcW w:w="1352" w:type="dxa"/>
            <w:tcBorders>
              <w:top w:val="nil"/>
              <w:left w:val="nil"/>
              <w:bottom w:val="nil"/>
              <w:right w:val="single" w:sz="4" w:space="0" w:color="auto"/>
            </w:tcBorders>
            <w:shd w:val="clear" w:color="auto" w:fill="auto"/>
            <w:noWrap/>
            <w:vAlign w:val="bottom"/>
            <w:hideMark/>
          </w:tcPr>
          <w:p w14:paraId="4A14AAB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15E5820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111,27</w:t>
            </w:r>
          </w:p>
        </w:tc>
      </w:tr>
      <w:tr w:rsidR="002F6D27" w:rsidRPr="002F6D27" w14:paraId="7FA5B3E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3DDE633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2015</w:t>
            </w:r>
          </w:p>
        </w:tc>
        <w:tc>
          <w:tcPr>
            <w:tcW w:w="1352" w:type="dxa"/>
            <w:tcBorders>
              <w:top w:val="nil"/>
              <w:left w:val="nil"/>
              <w:bottom w:val="nil"/>
              <w:right w:val="single" w:sz="4" w:space="0" w:color="auto"/>
            </w:tcBorders>
            <w:shd w:val="clear" w:color="auto" w:fill="auto"/>
            <w:noWrap/>
            <w:vAlign w:val="bottom"/>
            <w:hideMark/>
          </w:tcPr>
          <w:p w14:paraId="179009D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0BD6826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114,64</w:t>
            </w:r>
          </w:p>
        </w:tc>
        <w:tc>
          <w:tcPr>
            <w:tcW w:w="1352" w:type="dxa"/>
            <w:tcBorders>
              <w:top w:val="nil"/>
              <w:left w:val="nil"/>
              <w:bottom w:val="nil"/>
              <w:right w:val="single" w:sz="4" w:space="0" w:color="auto"/>
            </w:tcBorders>
            <w:shd w:val="clear" w:color="auto" w:fill="auto"/>
            <w:noWrap/>
            <w:vAlign w:val="bottom"/>
            <w:hideMark/>
          </w:tcPr>
          <w:p w14:paraId="3F55889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3,00</w:t>
            </w:r>
          </w:p>
        </w:tc>
        <w:tc>
          <w:tcPr>
            <w:tcW w:w="1238" w:type="dxa"/>
            <w:tcBorders>
              <w:top w:val="nil"/>
              <w:left w:val="nil"/>
              <w:bottom w:val="nil"/>
              <w:right w:val="double" w:sz="6" w:space="0" w:color="auto"/>
            </w:tcBorders>
            <w:shd w:val="clear" w:color="auto" w:fill="auto"/>
            <w:noWrap/>
            <w:vAlign w:val="bottom"/>
            <w:hideMark/>
          </w:tcPr>
          <w:p w14:paraId="4F656377"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114,61</w:t>
            </w:r>
          </w:p>
        </w:tc>
      </w:tr>
      <w:tr w:rsidR="002F6D27" w:rsidRPr="002F6D27" w14:paraId="51E893F2"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2F49A4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2016</w:t>
            </w:r>
          </w:p>
        </w:tc>
        <w:tc>
          <w:tcPr>
            <w:tcW w:w="1352" w:type="dxa"/>
            <w:tcBorders>
              <w:top w:val="nil"/>
              <w:left w:val="nil"/>
              <w:bottom w:val="nil"/>
              <w:right w:val="single" w:sz="4" w:space="0" w:color="auto"/>
            </w:tcBorders>
            <w:shd w:val="clear" w:color="auto" w:fill="auto"/>
            <w:noWrap/>
            <w:vAlign w:val="bottom"/>
            <w:hideMark/>
          </w:tcPr>
          <w:p w14:paraId="4CCFC0D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59265F5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117,85</w:t>
            </w:r>
          </w:p>
        </w:tc>
        <w:tc>
          <w:tcPr>
            <w:tcW w:w="1352" w:type="dxa"/>
            <w:tcBorders>
              <w:top w:val="nil"/>
              <w:left w:val="nil"/>
              <w:bottom w:val="nil"/>
              <w:right w:val="single" w:sz="4" w:space="0" w:color="auto"/>
            </w:tcBorders>
            <w:shd w:val="clear" w:color="auto" w:fill="auto"/>
            <w:noWrap/>
            <w:vAlign w:val="bottom"/>
            <w:hideMark/>
          </w:tcPr>
          <w:p w14:paraId="30242E8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2,80</w:t>
            </w:r>
          </w:p>
        </w:tc>
        <w:tc>
          <w:tcPr>
            <w:tcW w:w="1238" w:type="dxa"/>
            <w:tcBorders>
              <w:top w:val="nil"/>
              <w:left w:val="nil"/>
              <w:bottom w:val="nil"/>
              <w:right w:val="double" w:sz="6" w:space="0" w:color="auto"/>
            </w:tcBorders>
            <w:shd w:val="clear" w:color="auto" w:fill="auto"/>
            <w:noWrap/>
            <w:vAlign w:val="bottom"/>
            <w:hideMark/>
          </w:tcPr>
          <w:p w14:paraId="771A958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117,82</w:t>
            </w:r>
          </w:p>
        </w:tc>
      </w:tr>
      <w:tr w:rsidR="002F6D27" w:rsidRPr="002F6D27" w14:paraId="0EF869BD"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28094A3"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2017</w:t>
            </w:r>
          </w:p>
        </w:tc>
        <w:tc>
          <w:tcPr>
            <w:tcW w:w="1352" w:type="dxa"/>
            <w:tcBorders>
              <w:top w:val="nil"/>
              <w:left w:val="nil"/>
              <w:bottom w:val="nil"/>
              <w:right w:val="single" w:sz="4" w:space="0" w:color="auto"/>
            </w:tcBorders>
            <w:shd w:val="clear" w:color="auto" w:fill="auto"/>
            <w:noWrap/>
            <w:vAlign w:val="bottom"/>
            <w:hideMark/>
          </w:tcPr>
          <w:p w14:paraId="79D3165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320DF63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120,91</w:t>
            </w:r>
          </w:p>
        </w:tc>
        <w:tc>
          <w:tcPr>
            <w:tcW w:w="1352" w:type="dxa"/>
            <w:tcBorders>
              <w:top w:val="nil"/>
              <w:left w:val="nil"/>
              <w:bottom w:val="nil"/>
              <w:right w:val="single" w:sz="4" w:space="0" w:color="auto"/>
            </w:tcBorders>
            <w:shd w:val="clear" w:color="auto" w:fill="auto"/>
            <w:noWrap/>
            <w:vAlign w:val="bottom"/>
            <w:hideMark/>
          </w:tcPr>
          <w:p w14:paraId="5CAC066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2,60</w:t>
            </w:r>
          </w:p>
        </w:tc>
        <w:tc>
          <w:tcPr>
            <w:tcW w:w="1238" w:type="dxa"/>
            <w:tcBorders>
              <w:top w:val="nil"/>
              <w:left w:val="nil"/>
              <w:bottom w:val="nil"/>
              <w:right w:val="double" w:sz="6" w:space="0" w:color="auto"/>
            </w:tcBorders>
            <w:shd w:val="clear" w:color="auto" w:fill="auto"/>
            <w:noWrap/>
            <w:vAlign w:val="bottom"/>
            <w:hideMark/>
          </w:tcPr>
          <w:p w14:paraId="4E7F915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120,88</w:t>
            </w:r>
          </w:p>
        </w:tc>
      </w:tr>
      <w:tr w:rsidR="002F6D27" w:rsidRPr="002F6D27" w14:paraId="74F3D381"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6AFD400A"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108EAB4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0,22</w:t>
            </w:r>
          </w:p>
        </w:tc>
        <w:tc>
          <w:tcPr>
            <w:tcW w:w="1238" w:type="dxa"/>
            <w:tcBorders>
              <w:top w:val="nil"/>
              <w:left w:val="nil"/>
              <w:bottom w:val="nil"/>
              <w:right w:val="double" w:sz="6" w:space="0" w:color="auto"/>
            </w:tcBorders>
            <w:shd w:val="clear" w:color="auto" w:fill="auto"/>
            <w:noWrap/>
            <w:vAlign w:val="bottom"/>
            <w:hideMark/>
          </w:tcPr>
          <w:p w14:paraId="4C4EA9EC"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121,18</w:t>
            </w:r>
          </w:p>
        </w:tc>
        <w:tc>
          <w:tcPr>
            <w:tcW w:w="1352" w:type="dxa"/>
            <w:tcBorders>
              <w:top w:val="nil"/>
              <w:left w:val="nil"/>
              <w:bottom w:val="nil"/>
              <w:right w:val="single" w:sz="4" w:space="0" w:color="auto"/>
            </w:tcBorders>
            <w:shd w:val="clear" w:color="auto" w:fill="auto"/>
            <w:noWrap/>
            <w:vAlign w:val="bottom"/>
            <w:hideMark/>
          </w:tcPr>
          <w:p w14:paraId="00D9B3BB"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0,19</w:t>
            </w:r>
          </w:p>
        </w:tc>
        <w:tc>
          <w:tcPr>
            <w:tcW w:w="1238" w:type="dxa"/>
            <w:tcBorders>
              <w:top w:val="nil"/>
              <w:left w:val="nil"/>
              <w:bottom w:val="nil"/>
              <w:right w:val="double" w:sz="6" w:space="0" w:color="auto"/>
            </w:tcBorders>
            <w:shd w:val="clear" w:color="auto" w:fill="auto"/>
            <w:noWrap/>
            <w:vAlign w:val="bottom"/>
            <w:hideMark/>
          </w:tcPr>
          <w:p w14:paraId="3AD0BD1D"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121,11</w:t>
            </w:r>
          </w:p>
        </w:tc>
      </w:tr>
      <w:tr w:rsidR="002F6D27" w:rsidRPr="002F6D27" w14:paraId="099E5E37"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4905FC97"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2018</w:t>
            </w:r>
          </w:p>
        </w:tc>
        <w:tc>
          <w:tcPr>
            <w:tcW w:w="1352" w:type="dxa"/>
            <w:tcBorders>
              <w:top w:val="nil"/>
              <w:left w:val="nil"/>
              <w:bottom w:val="nil"/>
              <w:right w:val="single" w:sz="4" w:space="0" w:color="auto"/>
            </w:tcBorders>
            <w:shd w:val="clear" w:color="auto" w:fill="auto"/>
            <w:noWrap/>
            <w:vAlign w:val="bottom"/>
            <w:hideMark/>
          </w:tcPr>
          <w:p w14:paraId="05B8091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0041A83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125,06</w:t>
            </w:r>
          </w:p>
        </w:tc>
        <w:tc>
          <w:tcPr>
            <w:tcW w:w="1352" w:type="dxa"/>
            <w:tcBorders>
              <w:top w:val="nil"/>
              <w:left w:val="nil"/>
              <w:bottom w:val="nil"/>
              <w:right w:val="single" w:sz="4" w:space="0" w:color="auto"/>
            </w:tcBorders>
            <w:shd w:val="clear" w:color="auto" w:fill="auto"/>
            <w:noWrap/>
            <w:vAlign w:val="bottom"/>
            <w:hideMark/>
          </w:tcPr>
          <w:p w14:paraId="71DE752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3,20</w:t>
            </w:r>
          </w:p>
        </w:tc>
        <w:tc>
          <w:tcPr>
            <w:tcW w:w="1238" w:type="dxa"/>
            <w:tcBorders>
              <w:top w:val="nil"/>
              <w:left w:val="nil"/>
              <w:bottom w:val="nil"/>
              <w:right w:val="double" w:sz="6" w:space="0" w:color="auto"/>
            </w:tcBorders>
            <w:shd w:val="clear" w:color="auto" w:fill="auto"/>
            <w:noWrap/>
            <w:vAlign w:val="bottom"/>
            <w:hideMark/>
          </w:tcPr>
          <w:p w14:paraId="7E407390"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124,98</w:t>
            </w:r>
          </w:p>
        </w:tc>
      </w:tr>
      <w:tr w:rsidR="002F6D27" w:rsidRPr="002F6D27" w14:paraId="198A809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1B91240C"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nil"/>
              <w:left w:val="nil"/>
              <w:bottom w:val="nil"/>
              <w:right w:val="single" w:sz="4" w:space="0" w:color="auto"/>
            </w:tcBorders>
            <w:shd w:val="clear" w:color="auto" w:fill="auto"/>
            <w:noWrap/>
            <w:vAlign w:val="bottom"/>
            <w:hideMark/>
          </w:tcPr>
          <w:p w14:paraId="2A209F7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0,13</w:t>
            </w:r>
          </w:p>
        </w:tc>
        <w:tc>
          <w:tcPr>
            <w:tcW w:w="1238" w:type="dxa"/>
            <w:tcBorders>
              <w:top w:val="nil"/>
              <w:left w:val="nil"/>
              <w:bottom w:val="nil"/>
              <w:right w:val="double" w:sz="6" w:space="0" w:color="auto"/>
            </w:tcBorders>
            <w:shd w:val="clear" w:color="auto" w:fill="auto"/>
            <w:noWrap/>
            <w:vAlign w:val="bottom"/>
            <w:hideMark/>
          </w:tcPr>
          <w:p w14:paraId="4091D65E"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125,22</w:t>
            </w:r>
          </w:p>
        </w:tc>
        <w:tc>
          <w:tcPr>
            <w:tcW w:w="1352" w:type="dxa"/>
            <w:tcBorders>
              <w:top w:val="nil"/>
              <w:left w:val="nil"/>
              <w:bottom w:val="nil"/>
              <w:right w:val="single" w:sz="4" w:space="0" w:color="auto"/>
            </w:tcBorders>
            <w:shd w:val="clear" w:color="auto" w:fill="auto"/>
            <w:noWrap/>
            <w:vAlign w:val="bottom"/>
            <w:hideMark/>
          </w:tcPr>
          <w:p w14:paraId="35D9BAF3"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0,12</w:t>
            </w:r>
          </w:p>
        </w:tc>
        <w:tc>
          <w:tcPr>
            <w:tcW w:w="1238" w:type="dxa"/>
            <w:tcBorders>
              <w:top w:val="nil"/>
              <w:left w:val="nil"/>
              <w:bottom w:val="nil"/>
              <w:right w:val="double" w:sz="6" w:space="0" w:color="auto"/>
            </w:tcBorders>
            <w:shd w:val="clear" w:color="auto" w:fill="auto"/>
            <w:noWrap/>
            <w:vAlign w:val="bottom"/>
            <w:hideMark/>
          </w:tcPr>
          <w:p w14:paraId="7CE5DE35"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125,13</w:t>
            </w:r>
          </w:p>
        </w:tc>
      </w:tr>
      <w:tr w:rsidR="002F6D27" w:rsidRPr="002F6D27" w14:paraId="24E019DB" w14:textId="77777777" w:rsidTr="002F6D27">
        <w:trPr>
          <w:trHeight w:val="264"/>
        </w:trPr>
        <w:tc>
          <w:tcPr>
            <w:tcW w:w="1240" w:type="dxa"/>
            <w:tcBorders>
              <w:top w:val="nil"/>
              <w:left w:val="double" w:sz="6" w:space="0" w:color="auto"/>
              <w:bottom w:val="nil"/>
              <w:right w:val="double" w:sz="6" w:space="0" w:color="auto"/>
            </w:tcBorders>
            <w:shd w:val="clear" w:color="000000" w:fill="D9D9D9"/>
            <w:noWrap/>
            <w:vAlign w:val="bottom"/>
            <w:hideMark/>
          </w:tcPr>
          <w:p w14:paraId="71747CC4"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2019</w:t>
            </w:r>
          </w:p>
        </w:tc>
        <w:tc>
          <w:tcPr>
            <w:tcW w:w="1352" w:type="dxa"/>
            <w:tcBorders>
              <w:top w:val="nil"/>
              <w:left w:val="nil"/>
              <w:bottom w:val="nil"/>
              <w:right w:val="single" w:sz="4" w:space="0" w:color="auto"/>
            </w:tcBorders>
            <w:shd w:val="clear" w:color="auto" w:fill="auto"/>
            <w:noWrap/>
            <w:vAlign w:val="bottom"/>
            <w:hideMark/>
          </w:tcPr>
          <w:p w14:paraId="1CE36FD4"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5C45DEF9"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130,60</w:t>
            </w:r>
          </w:p>
        </w:tc>
        <w:tc>
          <w:tcPr>
            <w:tcW w:w="1352" w:type="dxa"/>
            <w:tcBorders>
              <w:top w:val="nil"/>
              <w:left w:val="nil"/>
              <w:bottom w:val="nil"/>
              <w:right w:val="single" w:sz="4" w:space="0" w:color="auto"/>
            </w:tcBorders>
            <w:shd w:val="clear" w:color="auto" w:fill="auto"/>
            <w:noWrap/>
            <w:vAlign w:val="bottom"/>
            <w:hideMark/>
          </w:tcPr>
          <w:p w14:paraId="7F87D0D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1862E461"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130,51</w:t>
            </w:r>
          </w:p>
        </w:tc>
      </w:tr>
      <w:tr w:rsidR="002F6D27" w:rsidRPr="002F6D27" w14:paraId="7E3FECF5" w14:textId="77777777" w:rsidTr="002F6D27">
        <w:trPr>
          <w:trHeight w:val="276"/>
        </w:trPr>
        <w:tc>
          <w:tcPr>
            <w:tcW w:w="1240" w:type="dxa"/>
            <w:tcBorders>
              <w:top w:val="nil"/>
              <w:left w:val="double" w:sz="6" w:space="0" w:color="auto"/>
              <w:bottom w:val="nil"/>
              <w:right w:val="double" w:sz="6" w:space="0" w:color="auto"/>
            </w:tcBorders>
            <w:shd w:val="clear" w:color="000000" w:fill="D9D9D9"/>
            <w:noWrap/>
            <w:vAlign w:val="bottom"/>
            <w:hideMark/>
          </w:tcPr>
          <w:p w14:paraId="444CBE60"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2020</w:t>
            </w:r>
          </w:p>
        </w:tc>
        <w:tc>
          <w:tcPr>
            <w:tcW w:w="1352" w:type="dxa"/>
            <w:tcBorders>
              <w:top w:val="nil"/>
              <w:left w:val="nil"/>
              <w:bottom w:val="nil"/>
              <w:right w:val="single" w:sz="4" w:space="0" w:color="auto"/>
            </w:tcBorders>
            <w:shd w:val="clear" w:color="auto" w:fill="auto"/>
            <w:noWrap/>
            <w:vAlign w:val="bottom"/>
            <w:hideMark/>
          </w:tcPr>
          <w:p w14:paraId="4F303E38"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08CFBFEA"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136,22</w:t>
            </w:r>
          </w:p>
        </w:tc>
        <w:tc>
          <w:tcPr>
            <w:tcW w:w="1352" w:type="dxa"/>
            <w:tcBorders>
              <w:top w:val="nil"/>
              <w:left w:val="nil"/>
              <w:bottom w:val="nil"/>
              <w:right w:val="single" w:sz="4" w:space="0" w:color="auto"/>
            </w:tcBorders>
            <w:shd w:val="clear" w:color="auto" w:fill="auto"/>
            <w:noWrap/>
            <w:vAlign w:val="bottom"/>
            <w:hideMark/>
          </w:tcPr>
          <w:p w14:paraId="2502381F"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4,30</w:t>
            </w:r>
          </w:p>
        </w:tc>
        <w:tc>
          <w:tcPr>
            <w:tcW w:w="1238" w:type="dxa"/>
            <w:tcBorders>
              <w:top w:val="nil"/>
              <w:left w:val="nil"/>
              <w:bottom w:val="nil"/>
              <w:right w:val="double" w:sz="6" w:space="0" w:color="auto"/>
            </w:tcBorders>
            <w:shd w:val="clear" w:color="auto" w:fill="auto"/>
            <w:noWrap/>
            <w:vAlign w:val="bottom"/>
            <w:hideMark/>
          </w:tcPr>
          <w:p w14:paraId="612FB502" w14:textId="77777777" w:rsidR="002F6D27" w:rsidRPr="002F6D27" w:rsidRDefault="002F6D27" w:rsidP="002F6D27">
            <w:pPr>
              <w:overflowPunct/>
              <w:autoSpaceDE/>
              <w:autoSpaceDN/>
              <w:adjustRightInd/>
              <w:jc w:val="right"/>
              <w:textAlignment w:val="auto"/>
              <w:rPr>
                <w:rFonts w:ascii="Arial" w:hAnsi="Arial" w:cs="Arial"/>
                <w:color w:val="000000"/>
              </w:rPr>
            </w:pPr>
            <w:r w:rsidRPr="002F6D27">
              <w:rPr>
                <w:rFonts w:ascii="Arial" w:hAnsi="Arial" w:cs="Arial"/>
                <w:color w:val="000000"/>
              </w:rPr>
              <w:t>136,13</w:t>
            </w:r>
          </w:p>
        </w:tc>
      </w:tr>
      <w:tr w:rsidR="002F6D27" w:rsidRPr="002F6D27" w14:paraId="74EF7F8A" w14:textId="77777777" w:rsidTr="002F6D27">
        <w:trPr>
          <w:trHeight w:val="276"/>
        </w:trPr>
        <w:tc>
          <w:tcPr>
            <w:tcW w:w="1240" w:type="dxa"/>
            <w:tcBorders>
              <w:top w:val="single" w:sz="8" w:space="0" w:color="auto"/>
              <w:left w:val="double" w:sz="6" w:space="0" w:color="auto"/>
              <w:bottom w:val="double" w:sz="6" w:space="0" w:color="auto"/>
              <w:right w:val="double" w:sz="6" w:space="0" w:color="auto"/>
            </w:tcBorders>
            <w:shd w:val="clear" w:color="auto" w:fill="auto"/>
            <w:noWrap/>
            <w:vAlign w:val="bottom"/>
            <w:hideMark/>
          </w:tcPr>
          <w:p w14:paraId="75726E09" w14:textId="77777777" w:rsidR="002F6D27" w:rsidRPr="002F6D27" w:rsidRDefault="002F6D27" w:rsidP="002F6D27">
            <w:pPr>
              <w:overflowPunct/>
              <w:autoSpaceDE/>
              <w:autoSpaceDN/>
              <w:adjustRightInd/>
              <w:jc w:val="center"/>
              <w:textAlignment w:val="auto"/>
              <w:rPr>
                <w:rFonts w:ascii="Arial" w:hAnsi="Arial" w:cs="Arial"/>
                <w:color w:val="000000"/>
              </w:rPr>
            </w:pPr>
            <w:r w:rsidRPr="002F6D27">
              <w:rPr>
                <w:rFonts w:ascii="Arial" w:hAnsi="Arial" w:cs="Arial"/>
                <w:color w:val="000000"/>
              </w:rPr>
              <w:t> </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41F43300"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505557D9"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36,22</w:t>
            </w:r>
          </w:p>
        </w:tc>
        <w:tc>
          <w:tcPr>
            <w:tcW w:w="1352" w:type="dxa"/>
            <w:tcBorders>
              <w:top w:val="single" w:sz="8" w:space="0" w:color="auto"/>
              <w:left w:val="nil"/>
              <w:bottom w:val="double" w:sz="6" w:space="0" w:color="auto"/>
              <w:right w:val="single" w:sz="4" w:space="0" w:color="auto"/>
            </w:tcBorders>
            <w:shd w:val="clear" w:color="auto" w:fill="auto"/>
            <w:noWrap/>
            <w:vAlign w:val="bottom"/>
            <w:hideMark/>
          </w:tcPr>
          <w:p w14:paraId="7517F94B" w14:textId="77777777" w:rsidR="002F6D27" w:rsidRPr="002F6D27" w:rsidRDefault="002F6D27" w:rsidP="002F6D27">
            <w:pPr>
              <w:overflowPunct/>
              <w:autoSpaceDE/>
              <w:autoSpaceDN/>
              <w:adjustRightInd/>
              <w:textAlignment w:val="auto"/>
              <w:rPr>
                <w:rFonts w:ascii="Arial" w:hAnsi="Arial" w:cs="Arial"/>
                <w:color w:val="000000"/>
              </w:rPr>
            </w:pPr>
            <w:r w:rsidRPr="002F6D27">
              <w:rPr>
                <w:rFonts w:ascii="Arial" w:hAnsi="Arial" w:cs="Arial"/>
                <w:color w:val="000000"/>
              </w:rPr>
              <w:t> </w:t>
            </w:r>
          </w:p>
        </w:tc>
        <w:tc>
          <w:tcPr>
            <w:tcW w:w="1238" w:type="dxa"/>
            <w:tcBorders>
              <w:top w:val="single" w:sz="8" w:space="0" w:color="auto"/>
              <w:left w:val="nil"/>
              <w:bottom w:val="double" w:sz="6" w:space="0" w:color="auto"/>
              <w:right w:val="double" w:sz="6" w:space="0" w:color="auto"/>
            </w:tcBorders>
            <w:shd w:val="clear" w:color="auto" w:fill="auto"/>
            <w:noWrap/>
            <w:vAlign w:val="bottom"/>
            <w:hideMark/>
          </w:tcPr>
          <w:p w14:paraId="33C3ADCE" w14:textId="77777777" w:rsidR="002F6D27" w:rsidRPr="002F6D27" w:rsidRDefault="002F6D27" w:rsidP="002F6D27">
            <w:pPr>
              <w:overflowPunct/>
              <w:autoSpaceDE/>
              <w:autoSpaceDN/>
              <w:adjustRightInd/>
              <w:jc w:val="right"/>
              <w:textAlignment w:val="auto"/>
              <w:rPr>
                <w:rFonts w:ascii="Arial" w:hAnsi="Arial" w:cs="Arial"/>
                <w:b/>
                <w:bCs/>
                <w:color w:val="000000"/>
              </w:rPr>
            </w:pPr>
            <w:r w:rsidRPr="002F6D27">
              <w:rPr>
                <w:rFonts w:ascii="Arial" w:hAnsi="Arial" w:cs="Arial"/>
                <w:b/>
                <w:bCs/>
                <w:color w:val="000000"/>
              </w:rPr>
              <w:t>36,13</w:t>
            </w:r>
          </w:p>
        </w:tc>
      </w:tr>
    </w:tbl>
    <w:p w14:paraId="0289849A" w14:textId="34728311" w:rsidR="007529B0" w:rsidRDefault="007529B0" w:rsidP="009C0C02">
      <w:pPr>
        <w:overflowPunct/>
        <w:spacing w:line="276" w:lineRule="auto"/>
        <w:ind w:left="2124"/>
        <w:textAlignment w:val="auto"/>
        <w:rPr>
          <w:rFonts w:ascii="Arial" w:eastAsia="Calibri" w:hAnsi="Arial" w:cs="Arial"/>
          <w:sz w:val="24"/>
          <w:szCs w:val="24"/>
          <w:lang w:eastAsia="en-US"/>
        </w:rPr>
      </w:pPr>
    </w:p>
    <w:p w14:paraId="447AA962" w14:textId="527F9AB2" w:rsidR="00C176A6" w:rsidRDefault="00C176A6" w:rsidP="009C0C02">
      <w:pPr>
        <w:overflowPunct/>
        <w:spacing w:line="276" w:lineRule="auto"/>
        <w:jc w:val="both"/>
        <w:textAlignment w:val="auto"/>
        <w:rPr>
          <w:rFonts w:ascii="Arial" w:eastAsia="Calibri" w:hAnsi="Arial" w:cs="Arial"/>
          <w:sz w:val="24"/>
          <w:szCs w:val="24"/>
          <w:lang w:eastAsia="en-US"/>
        </w:rPr>
      </w:pPr>
      <w:r w:rsidRPr="00C176A6">
        <w:rPr>
          <w:rFonts w:ascii="Arial" w:eastAsia="Calibri" w:hAnsi="Arial" w:cs="Arial"/>
          <w:sz w:val="24"/>
          <w:szCs w:val="24"/>
          <w:lang w:eastAsia="en-US"/>
        </w:rPr>
        <w:t>(</w:t>
      </w:r>
      <w:r w:rsidR="001003ED">
        <w:rPr>
          <w:rFonts w:ascii="Arial" w:eastAsia="Calibri" w:hAnsi="Arial" w:cs="Arial"/>
          <w:sz w:val="24"/>
          <w:szCs w:val="24"/>
          <w:lang w:eastAsia="en-US"/>
        </w:rPr>
        <w:t>6</w:t>
      </w:r>
      <w:r w:rsidRPr="00C176A6">
        <w:rPr>
          <w:rFonts w:ascii="Arial" w:eastAsia="Calibri" w:hAnsi="Arial" w:cs="Arial"/>
          <w:sz w:val="24"/>
          <w:szCs w:val="24"/>
          <w:lang w:eastAsia="en-US"/>
        </w:rPr>
        <w:t xml:space="preserve">) </w:t>
      </w:r>
      <w:r w:rsidR="003C62B9">
        <w:rPr>
          <w:rFonts w:ascii="Arial" w:eastAsia="Calibri" w:hAnsi="Arial" w:cs="Arial"/>
          <w:sz w:val="24"/>
          <w:szCs w:val="24"/>
          <w:lang w:eastAsia="en-US"/>
        </w:rPr>
        <w:t xml:space="preserve">Nach Maßgabe der Entscheidung </w:t>
      </w:r>
      <w:r w:rsidR="00855232">
        <w:rPr>
          <w:rFonts w:ascii="Arial" w:eastAsia="Calibri" w:hAnsi="Arial" w:cs="Arial"/>
          <w:sz w:val="24"/>
          <w:szCs w:val="24"/>
          <w:lang w:eastAsia="en-US"/>
        </w:rPr>
        <w:t xml:space="preserve">des Bundesverfassungsgerichts vom </w:t>
      </w:r>
      <w:r w:rsidR="001D6032">
        <w:rPr>
          <w:rFonts w:ascii="Arial" w:eastAsia="Calibri" w:hAnsi="Arial" w:cs="Arial"/>
          <w:sz w:val="24"/>
          <w:szCs w:val="24"/>
          <w:lang w:eastAsia="en-US"/>
        </w:rPr>
        <w:t>4</w:t>
      </w:r>
      <w:r w:rsidR="009D4BEE">
        <w:rPr>
          <w:rFonts w:ascii="Arial" w:eastAsia="Calibri" w:hAnsi="Arial" w:cs="Arial"/>
          <w:sz w:val="24"/>
          <w:szCs w:val="24"/>
          <w:lang w:eastAsia="en-US"/>
        </w:rPr>
        <w:t>. Mai 2020 (</w:t>
      </w:r>
      <w:r w:rsidR="00EA47D0">
        <w:rPr>
          <w:rFonts w:ascii="Arial" w:eastAsia="Calibri" w:hAnsi="Arial" w:cs="Arial"/>
          <w:sz w:val="24"/>
          <w:szCs w:val="24"/>
          <w:lang w:eastAsia="en-US"/>
        </w:rPr>
        <w:t xml:space="preserve">2 BvL 4/18, </w:t>
      </w:r>
      <w:r w:rsidR="00192445">
        <w:rPr>
          <w:rFonts w:ascii="Arial" w:eastAsia="Calibri" w:hAnsi="Arial" w:cs="Arial"/>
          <w:sz w:val="24"/>
          <w:szCs w:val="24"/>
          <w:lang w:eastAsia="en-US"/>
        </w:rPr>
        <w:t>Rn</w:t>
      </w:r>
      <w:r w:rsidR="00737DB1">
        <w:rPr>
          <w:rFonts w:ascii="Arial" w:eastAsia="Calibri" w:hAnsi="Arial" w:cs="Arial"/>
          <w:sz w:val="24"/>
          <w:szCs w:val="24"/>
          <w:lang w:eastAsia="en-US"/>
        </w:rPr>
        <w:t>.</w:t>
      </w:r>
      <w:r w:rsidR="00192445">
        <w:rPr>
          <w:rFonts w:ascii="Arial" w:eastAsia="Calibri" w:hAnsi="Arial" w:cs="Arial"/>
          <w:sz w:val="24"/>
          <w:szCs w:val="24"/>
          <w:lang w:eastAsia="en-US"/>
        </w:rPr>
        <w:t xml:space="preserve"> 36</w:t>
      </w:r>
      <w:r w:rsidR="00192445" w:rsidRPr="00192445">
        <w:rPr>
          <w:rFonts w:ascii="Arial" w:eastAsia="Calibri" w:hAnsi="Arial" w:cs="Arial"/>
          <w:sz w:val="24"/>
          <w:szCs w:val="24"/>
          <w:lang w:eastAsia="en-US"/>
        </w:rPr>
        <w:t>)</w:t>
      </w:r>
      <w:r w:rsidR="006C2665">
        <w:rPr>
          <w:rFonts w:ascii="Arial" w:eastAsia="Calibri" w:hAnsi="Arial" w:cs="Arial"/>
          <w:sz w:val="24"/>
          <w:szCs w:val="24"/>
          <w:lang w:eastAsia="en-US"/>
        </w:rPr>
        <w:t xml:space="preserve"> hat eine</w:t>
      </w:r>
      <w:r w:rsidR="003C62B9" w:rsidRPr="00DF552C">
        <w:rPr>
          <w:rFonts w:ascii="Arial" w:eastAsia="Calibri" w:hAnsi="Arial" w:cs="Arial"/>
          <w:color w:val="FF0000"/>
          <w:sz w:val="24"/>
          <w:szCs w:val="24"/>
          <w:lang w:eastAsia="en-US"/>
        </w:rPr>
        <w:t xml:space="preserve"> </w:t>
      </w:r>
      <w:r w:rsidR="00EA34EB">
        <w:rPr>
          <w:rFonts w:ascii="Arial" w:eastAsia="Calibri" w:hAnsi="Arial" w:cs="Arial"/>
          <w:sz w:val="24"/>
          <w:szCs w:val="24"/>
          <w:lang w:eastAsia="en-US"/>
        </w:rPr>
        <w:t xml:space="preserve">ergänzende Staffelprüfung </w:t>
      </w:r>
      <w:r w:rsidR="00EA34EB" w:rsidRPr="00EA34EB">
        <w:rPr>
          <w:rFonts w:ascii="Arial" w:eastAsia="Calibri" w:hAnsi="Arial" w:cs="Arial"/>
          <w:sz w:val="24"/>
          <w:szCs w:val="24"/>
          <w:lang w:eastAsia="en-US"/>
        </w:rPr>
        <w:t xml:space="preserve">für einen weiteren </w:t>
      </w:r>
      <w:r w:rsidR="00EA34EB">
        <w:rPr>
          <w:rFonts w:ascii="Arial" w:eastAsia="Calibri" w:hAnsi="Arial" w:cs="Arial"/>
          <w:sz w:val="24"/>
          <w:szCs w:val="24"/>
          <w:lang w:eastAsia="en-US"/>
        </w:rPr>
        <w:t>15-jährigen</w:t>
      </w:r>
      <w:r w:rsidR="00EA34EB" w:rsidRPr="00EA34EB">
        <w:rPr>
          <w:rFonts w:ascii="Arial" w:eastAsia="Calibri" w:hAnsi="Arial" w:cs="Arial"/>
          <w:sz w:val="24"/>
          <w:szCs w:val="24"/>
          <w:lang w:eastAsia="en-US"/>
        </w:rPr>
        <w:t xml:space="preserve"> Zeitraum</w:t>
      </w:r>
      <w:r w:rsidR="003C62B9">
        <w:rPr>
          <w:rFonts w:ascii="Arial" w:eastAsia="Calibri" w:hAnsi="Arial" w:cs="Arial"/>
          <w:sz w:val="24"/>
          <w:szCs w:val="24"/>
          <w:lang w:eastAsia="en-US"/>
        </w:rPr>
        <w:t xml:space="preserve"> zu erfolgen</w:t>
      </w:r>
      <w:r w:rsidR="00EA34EB" w:rsidRPr="00EA34EB">
        <w:rPr>
          <w:rFonts w:ascii="Arial" w:eastAsia="Calibri" w:hAnsi="Arial" w:cs="Arial"/>
          <w:sz w:val="24"/>
          <w:szCs w:val="24"/>
          <w:lang w:eastAsia="en-US"/>
        </w:rPr>
        <w:t>, der auch den Zeitraum der fünf Jahre vor Beginn des oben genannten 15-jährigen Betrachtungszeitraums abdeckt und sich mit diesem Zeitraum überlappt</w:t>
      </w:r>
      <w:r w:rsidR="003C62B9">
        <w:rPr>
          <w:rFonts w:ascii="Arial" w:eastAsia="Calibri" w:hAnsi="Arial" w:cs="Arial"/>
          <w:sz w:val="24"/>
          <w:szCs w:val="24"/>
          <w:lang w:eastAsia="en-US"/>
        </w:rPr>
        <w:t xml:space="preserve">. Es ergeben sich </w:t>
      </w:r>
      <w:r w:rsidRPr="00C176A6">
        <w:rPr>
          <w:rFonts w:ascii="Arial" w:eastAsia="Calibri" w:hAnsi="Arial" w:cs="Arial"/>
          <w:sz w:val="24"/>
          <w:szCs w:val="24"/>
          <w:lang w:eastAsia="en-US"/>
        </w:rPr>
        <w:t>für die Jahre 2016 bis 20</w:t>
      </w:r>
      <w:r w:rsidR="002C0A87">
        <w:rPr>
          <w:rFonts w:ascii="Arial" w:eastAsia="Calibri" w:hAnsi="Arial" w:cs="Arial"/>
          <w:sz w:val="24"/>
          <w:szCs w:val="24"/>
          <w:lang w:eastAsia="en-US"/>
        </w:rPr>
        <w:t>20</w:t>
      </w:r>
      <w:r w:rsidRPr="00C176A6">
        <w:rPr>
          <w:rFonts w:ascii="Arial" w:eastAsia="Calibri" w:hAnsi="Arial" w:cs="Arial"/>
          <w:sz w:val="24"/>
          <w:szCs w:val="24"/>
          <w:lang w:eastAsia="en-US"/>
        </w:rPr>
        <w:t xml:space="preserve"> die folgenden </w:t>
      </w:r>
      <w:r w:rsidR="003C62B9">
        <w:rPr>
          <w:rFonts w:ascii="Arial" w:eastAsia="Calibri" w:hAnsi="Arial" w:cs="Arial"/>
          <w:sz w:val="24"/>
          <w:szCs w:val="24"/>
          <w:lang w:eastAsia="en-US"/>
        </w:rPr>
        <w:t>Werte</w:t>
      </w:r>
      <w:r w:rsidRPr="00C176A6">
        <w:rPr>
          <w:rFonts w:ascii="Arial" w:eastAsia="Calibri" w:hAnsi="Arial" w:cs="Arial"/>
          <w:sz w:val="24"/>
          <w:szCs w:val="24"/>
          <w:lang w:eastAsia="en-US"/>
        </w:rPr>
        <w:t>:</w:t>
      </w:r>
    </w:p>
    <w:p w14:paraId="3F934683" w14:textId="1004F665" w:rsidR="00C609B8" w:rsidRDefault="00C609B8" w:rsidP="009C0C02">
      <w:pPr>
        <w:overflowPunct/>
        <w:spacing w:line="276" w:lineRule="auto"/>
        <w:ind w:left="1416"/>
        <w:textAlignment w:val="auto"/>
        <w:rPr>
          <w:rFonts w:ascii="Arial" w:eastAsia="Calibri" w:hAnsi="Arial" w:cs="Arial"/>
          <w:sz w:val="24"/>
          <w:szCs w:val="24"/>
          <w:lang w:eastAsia="en-US"/>
        </w:rPr>
      </w:pPr>
    </w:p>
    <w:tbl>
      <w:tblPr>
        <w:tblW w:w="5913" w:type="dxa"/>
        <w:tblInd w:w="1509" w:type="dxa"/>
        <w:tblCellMar>
          <w:left w:w="70" w:type="dxa"/>
          <w:right w:w="70" w:type="dxa"/>
        </w:tblCellMar>
        <w:tblLook w:val="04A0" w:firstRow="1" w:lastRow="0" w:firstColumn="1" w:lastColumn="0" w:noHBand="0" w:noVBand="1"/>
      </w:tblPr>
      <w:tblGrid>
        <w:gridCol w:w="1480"/>
        <w:gridCol w:w="1420"/>
        <w:gridCol w:w="1473"/>
        <w:gridCol w:w="1540"/>
      </w:tblGrid>
      <w:tr w:rsidR="00C609B8" w:rsidRPr="00C609B8" w14:paraId="41B21E89" w14:textId="77777777" w:rsidTr="00C609B8">
        <w:trPr>
          <w:trHeight w:val="639"/>
        </w:trPr>
        <w:tc>
          <w:tcPr>
            <w:tcW w:w="1480" w:type="dxa"/>
            <w:tcBorders>
              <w:top w:val="double" w:sz="6" w:space="0" w:color="auto"/>
              <w:left w:val="double" w:sz="6" w:space="0" w:color="auto"/>
              <w:bottom w:val="single" w:sz="4" w:space="0" w:color="auto"/>
              <w:right w:val="single" w:sz="4" w:space="0" w:color="auto"/>
            </w:tcBorders>
            <w:shd w:val="clear" w:color="auto" w:fill="auto"/>
            <w:hideMark/>
          </w:tcPr>
          <w:p w14:paraId="553490FE"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w:t>
            </w:r>
          </w:p>
        </w:tc>
        <w:tc>
          <w:tcPr>
            <w:tcW w:w="1420" w:type="dxa"/>
            <w:tcBorders>
              <w:top w:val="double" w:sz="6" w:space="0" w:color="auto"/>
              <w:left w:val="nil"/>
              <w:bottom w:val="single" w:sz="4" w:space="0" w:color="auto"/>
              <w:right w:val="single" w:sz="4" w:space="0" w:color="auto"/>
            </w:tcBorders>
            <w:shd w:val="clear" w:color="auto" w:fill="auto"/>
            <w:hideMark/>
          </w:tcPr>
          <w:p w14:paraId="5CAB4EF1" w14:textId="68A51ABC"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Staffelprüfung </w:t>
            </w:r>
          </w:p>
        </w:tc>
        <w:tc>
          <w:tcPr>
            <w:tcW w:w="1473" w:type="dxa"/>
            <w:tcBorders>
              <w:top w:val="double" w:sz="6" w:space="0" w:color="auto"/>
              <w:left w:val="nil"/>
              <w:bottom w:val="single" w:sz="4" w:space="0" w:color="auto"/>
              <w:right w:val="single" w:sz="4" w:space="0" w:color="auto"/>
            </w:tcBorders>
            <w:shd w:val="clear" w:color="auto" w:fill="auto"/>
            <w:hideMark/>
          </w:tcPr>
          <w:p w14:paraId="33005841" w14:textId="54B8E664"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Besoldungs-gruppe R1 </w:t>
            </w:r>
          </w:p>
        </w:tc>
        <w:tc>
          <w:tcPr>
            <w:tcW w:w="1540" w:type="dxa"/>
            <w:tcBorders>
              <w:top w:val="double" w:sz="6" w:space="0" w:color="auto"/>
              <w:left w:val="nil"/>
              <w:bottom w:val="single" w:sz="4" w:space="0" w:color="auto"/>
              <w:right w:val="double" w:sz="6" w:space="0" w:color="auto"/>
            </w:tcBorders>
            <w:shd w:val="clear" w:color="auto" w:fill="auto"/>
            <w:hideMark/>
          </w:tcPr>
          <w:p w14:paraId="2F469440" w14:textId="546B76E6"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Besoldungs-gruppe R2 </w:t>
            </w:r>
          </w:p>
        </w:tc>
      </w:tr>
      <w:tr w:rsidR="00C609B8" w:rsidRPr="00C609B8" w14:paraId="5AB95475" w14:textId="77777777" w:rsidTr="00C609B8">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694A4BF4"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2016</w:t>
            </w:r>
          </w:p>
        </w:tc>
        <w:tc>
          <w:tcPr>
            <w:tcW w:w="1420" w:type="dxa"/>
            <w:tcBorders>
              <w:top w:val="nil"/>
              <w:left w:val="nil"/>
              <w:bottom w:val="nil"/>
              <w:right w:val="single" w:sz="4" w:space="0" w:color="auto"/>
            </w:tcBorders>
            <w:shd w:val="clear" w:color="auto" w:fill="auto"/>
            <w:noWrap/>
            <w:vAlign w:val="bottom"/>
            <w:hideMark/>
          </w:tcPr>
          <w:p w14:paraId="6250B5D7" w14:textId="7777777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1996-2011</w:t>
            </w:r>
          </w:p>
        </w:tc>
        <w:tc>
          <w:tcPr>
            <w:tcW w:w="1473" w:type="dxa"/>
            <w:tcBorders>
              <w:top w:val="nil"/>
              <w:left w:val="nil"/>
              <w:bottom w:val="nil"/>
              <w:right w:val="single" w:sz="4" w:space="0" w:color="auto"/>
            </w:tcBorders>
            <w:shd w:val="clear" w:color="auto" w:fill="auto"/>
            <w:noWrap/>
            <w:vAlign w:val="bottom"/>
            <w:hideMark/>
          </w:tcPr>
          <w:p w14:paraId="4D5CF004" w14:textId="28989F4E"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12,78</w:t>
            </w:r>
            <w:r w:rsidR="009C3A01" w:rsidRPr="009C0C02">
              <w:rPr>
                <w:rFonts w:ascii="Arial" w:hAnsi="Arial" w:cs="Arial"/>
                <w:color w:val="000000"/>
              </w:rPr>
              <w:t xml:space="preserve"> </w:t>
            </w:r>
            <w:r w:rsidRPr="009C0C02">
              <w:rPr>
                <w:rFonts w:ascii="Arial" w:hAnsi="Arial" w:cs="Arial"/>
                <w:color w:val="000000"/>
              </w:rPr>
              <w:t>%</w:t>
            </w:r>
          </w:p>
        </w:tc>
        <w:tc>
          <w:tcPr>
            <w:tcW w:w="1540" w:type="dxa"/>
            <w:tcBorders>
              <w:top w:val="nil"/>
              <w:left w:val="nil"/>
              <w:bottom w:val="nil"/>
              <w:right w:val="double" w:sz="6" w:space="0" w:color="auto"/>
            </w:tcBorders>
            <w:shd w:val="clear" w:color="auto" w:fill="auto"/>
            <w:noWrap/>
            <w:vAlign w:val="bottom"/>
            <w:hideMark/>
          </w:tcPr>
          <w:p w14:paraId="0170AD69" w14:textId="3FED032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12,66</w:t>
            </w:r>
            <w:r w:rsidR="009C3A01" w:rsidRPr="009C0C02">
              <w:rPr>
                <w:rFonts w:ascii="Arial" w:hAnsi="Arial" w:cs="Arial"/>
                <w:color w:val="000000"/>
              </w:rPr>
              <w:t xml:space="preserve"> </w:t>
            </w:r>
            <w:r w:rsidRPr="009C0C02">
              <w:rPr>
                <w:rFonts w:ascii="Arial" w:hAnsi="Arial" w:cs="Arial"/>
                <w:color w:val="000000"/>
              </w:rPr>
              <w:t>%</w:t>
            </w:r>
          </w:p>
        </w:tc>
      </w:tr>
      <w:tr w:rsidR="00C609B8" w:rsidRPr="00C609B8" w14:paraId="4F042E72" w14:textId="77777777" w:rsidTr="00C609B8">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12E9F901"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2017</w:t>
            </w:r>
          </w:p>
        </w:tc>
        <w:tc>
          <w:tcPr>
            <w:tcW w:w="1420" w:type="dxa"/>
            <w:tcBorders>
              <w:top w:val="nil"/>
              <w:left w:val="nil"/>
              <w:bottom w:val="nil"/>
              <w:right w:val="single" w:sz="4" w:space="0" w:color="auto"/>
            </w:tcBorders>
            <w:shd w:val="clear" w:color="auto" w:fill="auto"/>
            <w:noWrap/>
            <w:vAlign w:val="bottom"/>
            <w:hideMark/>
          </w:tcPr>
          <w:p w14:paraId="35025AE7" w14:textId="7777777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1997-2012</w:t>
            </w:r>
          </w:p>
        </w:tc>
        <w:tc>
          <w:tcPr>
            <w:tcW w:w="1473" w:type="dxa"/>
            <w:tcBorders>
              <w:top w:val="nil"/>
              <w:left w:val="nil"/>
              <w:bottom w:val="nil"/>
              <w:right w:val="single" w:sz="4" w:space="0" w:color="auto"/>
            </w:tcBorders>
            <w:shd w:val="clear" w:color="auto" w:fill="auto"/>
            <w:noWrap/>
            <w:vAlign w:val="bottom"/>
            <w:hideMark/>
          </w:tcPr>
          <w:p w14:paraId="36662AF5" w14:textId="02243859"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13,56</w:t>
            </w:r>
            <w:r w:rsidR="009C3A01" w:rsidRPr="009C0C02">
              <w:rPr>
                <w:rFonts w:ascii="Arial" w:hAnsi="Arial" w:cs="Arial"/>
                <w:color w:val="000000"/>
              </w:rPr>
              <w:t xml:space="preserve"> </w:t>
            </w:r>
            <w:r w:rsidRPr="009C0C02">
              <w:rPr>
                <w:rFonts w:ascii="Arial" w:hAnsi="Arial" w:cs="Arial"/>
                <w:color w:val="000000"/>
              </w:rPr>
              <w:t>%</w:t>
            </w:r>
          </w:p>
        </w:tc>
        <w:tc>
          <w:tcPr>
            <w:tcW w:w="1540" w:type="dxa"/>
            <w:tcBorders>
              <w:top w:val="nil"/>
              <w:left w:val="nil"/>
              <w:bottom w:val="nil"/>
              <w:right w:val="double" w:sz="6" w:space="0" w:color="auto"/>
            </w:tcBorders>
            <w:shd w:val="clear" w:color="auto" w:fill="auto"/>
            <w:noWrap/>
            <w:vAlign w:val="bottom"/>
            <w:hideMark/>
          </w:tcPr>
          <w:p w14:paraId="088AC715" w14:textId="029EC81D"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13,44</w:t>
            </w:r>
            <w:r w:rsidR="009C3A01" w:rsidRPr="009C0C02">
              <w:rPr>
                <w:rFonts w:ascii="Arial" w:hAnsi="Arial" w:cs="Arial"/>
                <w:color w:val="000000"/>
              </w:rPr>
              <w:t xml:space="preserve"> </w:t>
            </w:r>
            <w:r w:rsidRPr="009C0C02">
              <w:rPr>
                <w:rFonts w:ascii="Arial" w:hAnsi="Arial" w:cs="Arial"/>
                <w:color w:val="000000"/>
              </w:rPr>
              <w:t>%</w:t>
            </w:r>
          </w:p>
        </w:tc>
      </w:tr>
      <w:tr w:rsidR="00C609B8" w:rsidRPr="00C609B8" w14:paraId="6975B121" w14:textId="77777777" w:rsidTr="00C609B8">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6E769FA2"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2018</w:t>
            </w:r>
          </w:p>
        </w:tc>
        <w:tc>
          <w:tcPr>
            <w:tcW w:w="1420" w:type="dxa"/>
            <w:tcBorders>
              <w:top w:val="nil"/>
              <w:left w:val="nil"/>
              <w:bottom w:val="nil"/>
              <w:right w:val="single" w:sz="4" w:space="0" w:color="auto"/>
            </w:tcBorders>
            <w:shd w:val="clear" w:color="auto" w:fill="auto"/>
            <w:noWrap/>
            <w:vAlign w:val="bottom"/>
            <w:hideMark/>
          </w:tcPr>
          <w:p w14:paraId="57D6E9FC" w14:textId="7777777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1998-2013</w:t>
            </w:r>
          </w:p>
        </w:tc>
        <w:tc>
          <w:tcPr>
            <w:tcW w:w="1473" w:type="dxa"/>
            <w:tcBorders>
              <w:top w:val="nil"/>
              <w:left w:val="nil"/>
              <w:bottom w:val="nil"/>
              <w:right w:val="single" w:sz="4" w:space="0" w:color="auto"/>
            </w:tcBorders>
            <w:shd w:val="clear" w:color="auto" w:fill="auto"/>
            <w:noWrap/>
            <w:vAlign w:val="bottom"/>
            <w:hideMark/>
          </w:tcPr>
          <w:p w14:paraId="6ADB442F" w14:textId="42926CF9"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14,12</w:t>
            </w:r>
            <w:r w:rsidR="009C3A01" w:rsidRPr="009C0C02">
              <w:rPr>
                <w:rFonts w:ascii="Arial" w:hAnsi="Arial" w:cs="Arial"/>
                <w:color w:val="000000"/>
              </w:rPr>
              <w:t xml:space="preserve"> </w:t>
            </w:r>
            <w:r w:rsidRPr="009C0C02">
              <w:rPr>
                <w:rFonts w:ascii="Arial" w:hAnsi="Arial" w:cs="Arial"/>
                <w:color w:val="000000"/>
              </w:rPr>
              <w:t>%</w:t>
            </w:r>
          </w:p>
        </w:tc>
        <w:tc>
          <w:tcPr>
            <w:tcW w:w="1540" w:type="dxa"/>
            <w:tcBorders>
              <w:top w:val="nil"/>
              <w:left w:val="nil"/>
              <w:bottom w:val="nil"/>
              <w:right w:val="double" w:sz="6" w:space="0" w:color="auto"/>
            </w:tcBorders>
            <w:shd w:val="clear" w:color="auto" w:fill="auto"/>
            <w:noWrap/>
            <w:vAlign w:val="bottom"/>
            <w:hideMark/>
          </w:tcPr>
          <w:p w14:paraId="78D39E88" w14:textId="206FA4F4"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14,00</w:t>
            </w:r>
            <w:r w:rsidR="009C3A01" w:rsidRPr="009C0C02">
              <w:rPr>
                <w:rFonts w:ascii="Arial" w:hAnsi="Arial" w:cs="Arial"/>
                <w:color w:val="000000"/>
              </w:rPr>
              <w:t xml:space="preserve"> </w:t>
            </w:r>
            <w:r w:rsidRPr="009C0C02">
              <w:rPr>
                <w:rFonts w:ascii="Arial" w:hAnsi="Arial" w:cs="Arial"/>
                <w:color w:val="000000"/>
              </w:rPr>
              <w:t>%</w:t>
            </w:r>
          </w:p>
        </w:tc>
      </w:tr>
      <w:tr w:rsidR="00C609B8" w:rsidRPr="00C609B8" w14:paraId="74CEBFDC" w14:textId="77777777" w:rsidTr="00C609B8">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63192437"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2019</w:t>
            </w:r>
          </w:p>
        </w:tc>
        <w:tc>
          <w:tcPr>
            <w:tcW w:w="1420" w:type="dxa"/>
            <w:tcBorders>
              <w:top w:val="nil"/>
              <w:left w:val="nil"/>
              <w:bottom w:val="nil"/>
              <w:right w:val="single" w:sz="4" w:space="0" w:color="auto"/>
            </w:tcBorders>
            <w:shd w:val="clear" w:color="auto" w:fill="auto"/>
            <w:noWrap/>
            <w:vAlign w:val="bottom"/>
            <w:hideMark/>
          </w:tcPr>
          <w:p w14:paraId="568F3B07" w14:textId="7777777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1999-2014</w:t>
            </w:r>
          </w:p>
        </w:tc>
        <w:tc>
          <w:tcPr>
            <w:tcW w:w="1473" w:type="dxa"/>
            <w:tcBorders>
              <w:top w:val="nil"/>
              <w:left w:val="nil"/>
              <w:bottom w:val="nil"/>
              <w:right w:val="single" w:sz="4" w:space="0" w:color="auto"/>
            </w:tcBorders>
            <w:shd w:val="clear" w:color="auto" w:fill="auto"/>
            <w:noWrap/>
            <w:vAlign w:val="bottom"/>
            <w:hideMark/>
          </w:tcPr>
          <w:p w14:paraId="4FD86EB5" w14:textId="066B609C"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14,23</w:t>
            </w:r>
            <w:r w:rsidR="009C3A01" w:rsidRPr="009C0C02">
              <w:rPr>
                <w:rFonts w:ascii="Arial" w:hAnsi="Arial" w:cs="Arial"/>
                <w:color w:val="000000"/>
              </w:rPr>
              <w:t xml:space="preserve"> </w:t>
            </w:r>
            <w:r w:rsidRPr="009C0C02">
              <w:rPr>
                <w:rFonts w:ascii="Arial" w:hAnsi="Arial" w:cs="Arial"/>
                <w:color w:val="000000"/>
              </w:rPr>
              <w:t>%</w:t>
            </w:r>
          </w:p>
        </w:tc>
        <w:tc>
          <w:tcPr>
            <w:tcW w:w="1540" w:type="dxa"/>
            <w:tcBorders>
              <w:top w:val="nil"/>
              <w:left w:val="nil"/>
              <w:bottom w:val="nil"/>
              <w:right w:val="double" w:sz="6" w:space="0" w:color="auto"/>
            </w:tcBorders>
            <w:shd w:val="clear" w:color="auto" w:fill="auto"/>
            <w:noWrap/>
            <w:vAlign w:val="bottom"/>
            <w:hideMark/>
          </w:tcPr>
          <w:p w14:paraId="3D1BF690" w14:textId="7617E2C1"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14,11</w:t>
            </w:r>
            <w:r w:rsidR="009C3A01" w:rsidRPr="009C0C02">
              <w:rPr>
                <w:rFonts w:ascii="Arial" w:hAnsi="Arial" w:cs="Arial"/>
                <w:color w:val="000000"/>
              </w:rPr>
              <w:t xml:space="preserve"> </w:t>
            </w:r>
            <w:r w:rsidRPr="009C0C02">
              <w:rPr>
                <w:rFonts w:ascii="Arial" w:hAnsi="Arial" w:cs="Arial"/>
                <w:color w:val="000000"/>
              </w:rPr>
              <w:t>%</w:t>
            </w:r>
          </w:p>
        </w:tc>
      </w:tr>
      <w:tr w:rsidR="00C609B8" w:rsidRPr="00C609B8" w14:paraId="2D535CDC" w14:textId="77777777" w:rsidTr="00C609B8">
        <w:trPr>
          <w:trHeight w:val="300"/>
        </w:trPr>
        <w:tc>
          <w:tcPr>
            <w:tcW w:w="1480" w:type="dxa"/>
            <w:tcBorders>
              <w:top w:val="nil"/>
              <w:left w:val="double" w:sz="6" w:space="0" w:color="auto"/>
              <w:bottom w:val="double" w:sz="6" w:space="0" w:color="auto"/>
              <w:right w:val="single" w:sz="4" w:space="0" w:color="auto"/>
            </w:tcBorders>
            <w:shd w:val="clear" w:color="000000" w:fill="D9D9D9"/>
            <w:noWrap/>
            <w:vAlign w:val="bottom"/>
            <w:hideMark/>
          </w:tcPr>
          <w:p w14:paraId="3AA35B0D" w14:textId="77777777" w:rsidR="00C609B8" w:rsidRPr="009C0C02" w:rsidRDefault="00C609B8" w:rsidP="00C609B8">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2020</w:t>
            </w:r>
          </w:p>
        </w:tc>
        <w:tc>
          <w:tcPr>
            <w:tcW w:w="1420" w:type="dxa"/>
            <w:tcBorders>
              <w:top w:val="nil"/>
              <w:left w:val="nil"/>
              <w:bottom w:val="double" w:sz="6" w:space="0" w:color="auto"/>
              <w:right w:val="single" w:sz="4" w:space="0" w:color="auto"/>
            </w:tcBorders>
            <w:shd w:val="clear" w:color="auto" w:fill="auto"/>
            <w:noWrap/>
            <w:vAlign w:val="bottom"/>
            <w:hideMark/>
          </w:tcPr>
          <w:p w14:paraId="27E8CC94" w14:textId="77777777"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2000-2015</w:t>
            </w:r>
          </w:p>
        </w:tc>
        <w:tc>
          <w:tcPr>
            <w:tcW w:w="1473" w:type="dxa"/>
            <w:tcBorders>
              <w:top w:val="nil"/>
              <w:left w:val="nil"/>
              <w:bottom w:val="double" w:sz="6" w:space="0" w:color="auto"/>
              <w:right w:val="single" w:sz="4" w:space="0" w:color="auto"/>
            </w:tcBorders>
            <w:shd w:val="clear" w:color="auto" w:fill="auto"/>
            <w:noWrap/>
            <w:vAlign w:val="bottom"/>
            <w:hideMark/>
          </w:tcPr>
          <w:p w14:paraId="28FD0EDA" w14:textId="6065E41C"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17,66</w:t>
            </w:r>
            <w:r w:rsidR="009C3A01" w:rsidRPr="009C0C02">
              <w:rPr>
                <w:rFonts w:ascii="Arial" w:hAnsi="Arial" w:cs="Arial"/>
                <w:color w:val="000000"/>
              </w:rPr>
              <w:t xml:space="preserve"> </w:t>
            </w:r>
            <w:r w:rsidRPr="009C0C02">
              <w:rPr>
                <w:rFonts w:ascii="Arial" w:hAnsi="Arial" w:cs="Arial"/>
                <w:color w:val="000000"/>
              </w:rPr>
              <w:t>%</w:t>
            </w:r>
          </w:p>
        </w:tc>
        <w:tc>
          <w:tcPr>
            <w:tcW w:w="1540" w:type="dxa"/>
            <w:tcBorders>
              <w:top w:val="nil"/>
              <w:left w:val="nil"/>
              <w:bottom w:val="double" w:sz="6" w:space="0" w:color="auto"/>
              <w:right w:val="double" w:sz="6" w:space="0" w:color="auto"/>
            </w:tcBorders>
            <w:shd w:val="clear" w:color="auto" w:fill="auto"/>
            <w:noWrap/>
            <w:vAlign w:val="bottom"/>
            <w:hideMark/>
          </w:tcPr>
          <w:p w14:paraId="0F2F86CF" w14:textId="0D630D36" w:rsidR="00C609B8" w:rsidRPr="009C0C02" w:rsidRDefault="00C609B8" w:rsidP="00C609B8">
            <w:pPr>
              <w:overflowPunct/>
              <w:autoSpaceDE/>
              <w:autoSpaceDN/>
              <w:adjustRightInd/>
              <w:jc w:val="center"/>
              <w:textAlignment w:val="auto"/>
              <w:rPr>
                <w:rFonts w:ascii="Arial" w:hAnsi="Arial" w:cs="Arial"/>
                <w:color w:val="000000"/>
              </w:rPr>
            </w:pPr>
            <w:r w:rsidRPr="009C0C02">
              <w:rPr>
                <w:rFonts w:ascii="Arial" w:hAnsi="Arial" w:cs="Arial"/>
                <w:color w:val="000000"/>
              </w:rPr>
              <w:t>17,53</w:t>
            </w:r>
            <w:r w:rsidR="009C3A01" w:rsidRPr="009C0C02">
              <w:rPr>
                <w:rFonts w:ascii="Arial" w:hAnsi="Arial" w:cs="Arial"/>
                <w:color w:val="000000"/>
              </w:rPr>
              <w:t xml:space="preserve"> </w:t>
            </w:r>
            <w:r w:rsidRPr="009C0C02">
              <w:rPr>
                <w:rFonts w:ascii="Arial" w:hAnsi="Arial" w:cs="Arial"/>
                <w:color w:val="000000"/>
              </w:rPr>
              <w:t>%</w:t>
            </w:r>
          </w:p>
        </w:tc>
      </w:tr>
    </w:tbl>
    <w:p w14:paraId="7A395099" w14:textId="77777777" w:rsidR="00C609B8" w:rsidRDefault="00C609B8" w:rsidP="009C0C02">
      <w:pPr>
        <w:overflowPunct/>
        <w:spacing w:line="276" w:lineRule="auto"/>
        <w:ind w:left="1416"/>
        <w:textAlignment w:val="auto"/>
        <w:rPr>
          <w:rFonts w:ascii="Arial" w:eastAsia="Calibri" w:hAnsi="Arial" w:cs="Arial"/>
          <w:sz w:val="24"/>
          <w:szCs w:val="24"/>
          <w:lang w:eastAsia="en-US"/>
        </w:rPr>
      </w:pPr>
    </w:p>
    <w:p w14:paraId="6BB45E0C" w14:textId="0FBB599A" w:rsidR="003C62B9" w:rsidRDefault="008E03CF" w:rsidP="009C0C0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b)</w:t>
      </w:r>
      <w:r w:rsidR="003C62B9">
        <w:rPr>
          <w:rFonts w:ascii="Arial" w:eastAsia="Calibri" w:hAnsi="Arial" w:cs="Arial"/>
          <w:sz w:val="24"/>
          <w:szCs w:val="24"/>
          <w:lang w:eastAsia="en-US"/>
        </w:rPr>
        <w:t xml:space="preserve"> Die </w:t>
      </w:r>
      <w:r w:rsidR="00AD3D85" w:rsidRPr="008345F7">
        <w:rPr>
          <w:rFonts w:ascii="Arial" w:eastAsia="Calibri" w:hAnsi="Arial" w:cs="Arial"/>
          <w:sz w:val="24"/>
          <w:szCs w:val="24"/>
          <w:lang w:eastAsia="en-US"/>
        </w:rPr>
        <w:t>Entwicklung der Einkommen der Tarifbeschäftigten im öffentlichen Dienst</w:t>
      </w:r>
      <w:r w:rsidR="00AD3D85">
        <w:rPr>
          <w:rFonts w:ascii="Arial" w:eastAsia="Calibri" w:hAnsi="Arial" w:cs="Arial"/>
          <w:sz w:val="24"/>
          <w:szCs w:val="24"/>
          <w:lang w:eastAsia="en-US"/>
        </w:rPr>
        <w:t xml:space="preserve"> überstieg die </w:t>
      </w:r>
      <w:r w:rsidR="003C62B9">
        <w:rPr>
          <w:rFonts w:ascii="Arial" w:eastAsia="Calibri" w:hAnsi="Arial" w:cs="Arial"/>
          <w:sz w:val="24"/>
          <w:szCs w:val="24"/>
          <w:lang w:eastAsia="en-US"/>
        </w:rPr>
        <w:t>Entwicklung der R-Besoldung in allen Jahre</w:t>
      </w:r>
      <w:r w:rsidR="006C2665">
        <w:rPr>
          <w:rFonts w:ascii="Arial" w:eastAsia="Calibri" w:hAnsi="Arial" w:cs="Arial"/>
          <w:sz w:val="24"/>
          <w:szCs w:val="24"/>
          <w:lang w:eastAsia="en-US"/>
        </w:rPr>
        <w:t>n</w:t>
      </w:r>
      <w:r w:rsidR="003C62B9">
        <w:rPr>
          <w:rFonts w:ascii="Arial" w:eastAsia="Calibri" w:hAnsi="Arial" w:cs="Arial"/>
          <w:sz w:val="24"/>
          <w:szCs w:val="24"/>
          <w:lang w:eastAsia="en-US"/>
        </w:rPr>
        <w:t xml:space="preserve"> des Betrachtungszeitraums, in den Jahren 2016 und 2017 sogar übermäßig</w:t>
      </w:r>
      <w:r w:rsidR="00AD3D85">
        <w:rPr>
          <w:rFonts w:ascii="Arial" w:eastAsia="Calibri" w:hAnsi="Arial" w:cs="Arial"/>
          <w:sz w:val="24"/>
          <w:szCs w:val="24"/>
          <w:lang w:eastAsia="en-US"/>
        </w:rPr>
        <w:t xml:space="preserve"> in Höhe von mehr als 5 Prozent (</w:t>
      </w:r>
      <w:r w:rsidR="00AD3D85" w:rsidRPr="00B2354F">
        <w:rPr>
          <w:rFonts w:ascii="Arial" w:eastAsia="Calibri" w:hAnsi="Arial" w:cs="Arial"/>
          <w:b/>
          <w:sz w:val="24"/>
          <w:szCs w:val="24"/>
          <w:lang w:eastAsia="en-US"/>
        </w:rPr>
        <w:t>erster Parameter</w:t>
      </w:r>
      <w:r w:rsidR="00AD3D85">
        <w:rPr>
          <w:rFonts w:ascii="Arial" w:eastAsia="Calibri" w:hAnsi="Arial" w:cs="Arial"/>
          <w:sz w:val="24"/>
          <w:szCs w:val="24"/>
          <w:lang w:eastAsia="en-US"/>
        </w:rPr>
        <w:t>)</w:t>
      </w:r>
      <w:r w:rsidR="003C62B9">
        <w:rPr>
          <w:rFonts w:ascii="Arial" w:eastAsia="Calibri" w:hAnsi="Arial" w:cs="Arial"/>
          <w:sz w:val="24"/>
          <w:szCs w:val="24"/>
          <w:lang w:eastAsia="en-US"/>
        </w:rPr>
        <w:t>.</w:t>
      </w:r>
    </w:p>
    <w:p w14:paraId="5AC396F7" w14:textId="77777777" w:rsidR="003C62B9" w:rsidRDefault="003C62B9" w:rsidP="009C0C02">
      <w:pPr>
        <w:overflowPunct/>
        <w:spacing w:line="276" w:lineRule="auto"/>
        <w:jc w:val="both"/>
        <w:textAlignment w:val="auto"/>
        <w:rPr>
          <w:rFonts w:ascii="Arial" w:eastAsia="Calibri" w:hAnsi="Arial" w:cs="Arial"/>
          <w:sz w:val="24"/>
          <w:szCs w:val="24"/>
          <w:lang w:eastAsia="en-US"/>
        </w:rPr>
      </w:pPr>
    </w:p>
    <w:p w14:paraId="0068811B" w14:textId="0188D784" w:rsidR="008E03CF" w:rsidRDefault="008E03CF" w:rsidP="009C0C02">
      <w:pPr>
        <w:overflowPunct/>
        <w:spacing w:line="276" w:lineRule="auto"/>
        <w:jc w:val="both"/>
        <w:textAlignment w:val="auto"/>
        <w:rPr>
          <w:rFonts w:ascii="Arial" w:eastAsia="Calibri" w:hAnsi="Arial" w:cs="Arial"/>
          <w:sz w:val="24"/>
          <w:szCs w:val="24"/>
          <w:lang w:eastAsia="en-US"/>
        </w:rPr>
      </w:pPr>
      <w:r w:rsidRPr="008E03CF">
        <w:rPr>
          <w:rFonts w:ascii="Arial" w:eastAsia="Calibri" w:hAnsi="Arial" w:cs="Arial"/>
          <w:sz w:val="24"/>
          <w:szCs w:val="24"/>
          <w:lang w:eastAsia="en-US"/>
        </w:rPr>
        <w:t>Weil das Land Berlin zwischenzeitlich eine eigenständige Tarifpolitik betrieben hat, kann nur teilweise auf den Tariflohnindex des Statistischen Bundesamtes zurückgegriffen werden, um die linearen Veränderungen der Tariflöhne zu ermitteln.</w:t>
      </w:r>
    </w:p>
    <w:p w14:paraId="645F25B4" w14:textId="313646DA" w:rsidR="008E03CF" w:rsidRDefault="008E03CF" w:rsidP="009C0C02">
      <w:pPr>
        <w:overflowPunct/>
        <w:spacing w:line="276" w:lineRule="auto"/>
        <w:jc w:val="both"/>
        <w:textAlignment w:val="auto"/>
        <w:rPr>
          <w:rFonts w:ascii="Arial" w:eastAsia="Calibri" w:hAnsi="Arial" w:cs="Arial"/>
          <w:sz w:val="24"/>
          <w:szCs w:val="24"/>
          <w:lang w:eastAsia="en-US"/>
        </w:rPr>
      </w:pPr>
    </w:p>
    <w:p w14:paraId="0A48F895" w14:textId="145BE6EE" w:rsidR="008E03CF" w:rsidRDefault="008E03CF" w:rsidP="009C0C02">
      <w:pPr>
        <w:overflowPunct/>
        <w:spacing w:line="276" w:lineRule="auto"/>
        <w:jc w:val="both"/>
        <w:textAlignment w:val="auto"/>
        <w:rPr>
          <w:rFonts w:ascii="Arial" w:eastAsia="Calibri" w:hAnsi="Arial" w:cs="Arial"/>
          <w:sz w:val="24"/>
          <w:szCs w:val="24"/>
          <w:lang w:eastAsia="en-US"/>
        </w:rPr>
      </w:pPr>
      <w:r w:rsidRPr="008E03CF">
        <w:rPr>
          <w:rFonts w:ascii="Arial" w:eastAsia="Calibri" w:hAnsi="Arial" w:cs="Arial"/>
          <w:sz w:val="24"/>
          <w:szCs w:val="24"/>
          <w:lang w:eastAsia="en-US"/>
        </w:rPr>
        <w:t xml:space="preserve">aa) Für die Angestellten des Landes Berlin, das seit 1994 nicht mehr Mitglied der Tarifgemeinschaft deutscher Länder war, galt der Bundesangestelltentarifvertrag (BAT) zunächst aufgrund dynamischer Übernahmetarifverträge fort (vgl. Bochmann, ZTR 2011, S. 459 &lt;460&gt;). Mit dem Tarifvertrag zur Anwendung von Tarifverträgen des öffentlichen Dienstes (Anwendungs-TV Land Berlin) vom 31. Juli 2003 wurde die statische Geltung des BAT in der Fassung vom 1. Januar 2003 beschlossen, das heißt mit den dort bereits vereinbarten Tariferhöhungen von 2,4 % im Jahr 2003 und von zwei Mal 1,0 % im Jahr 2004 (vgl. Bochmann, ZTR 2011, S. 459 &lt;462&gt;). In Abweichung vom BAT wurden die Tarifentgelte – nach Entgeltgruppe gestaffelt – um 8 bis 12 % abgesenkt. Im Gegenzug wurden nicht nur betriebsbedingte Kündigungen ausgeschlossen, sondern es wurde auch die bezahlte Arbeitszeit </w:t>
      </w:r>
      <w:r w:rsidR="003C62B9">
        <w:rPr>
          <w:rFonts w:ascii="Arial" w:eastAsia="Calibri" w:hAnsi="Arial" w:cs="Arial"/>
          <w:sz w:val="24"/>
          <w:szCs w:val="24"/>
          <w:lang w:eastAsia="en-US"/>
        </w:rPr>
        <w:t xml:space="preserve">der Tarifangestellten </w:t>
      </w:r>
      <w:r w:rsidRPr="008E03CF">
        <w:rPr>
          <w:rFonts w:ascii="Arial" w:eastAsia="Calibri" w:hAnsi="Arial" w:cs="Arial"/>
          <w:sz w:val="24"/>
          <w:szCs w:val="24"/>
          <w:lang w:eastAsia="en-US"/>
        </w:rPr>
        <w:t xml:space="preserve">im gleichen Verhältnis auf nunmehr 35,42 bis 33,88 Wochenstunden vermindert. Zwar wurde gleichzeitig eine höhere tatsächlich zu erbringende Arbeitszeit </w:t>
      </w:r>
      <w:r w:rsidR="003C62B9">
        <w:rPr>
          <w:rFonts w:ascii="Arial" w:eastAsia="Calibri" w:hAnsi="Arial" w:cs="Arial"/>
          <w:sz w:val="24"/>
          <w:szCs w:val="24"/>
          <w:lang w:eastAsia="en-US"/>
        </w:rPr>
        <w:t xml:space="preserve">der Angestellten </w:t>
      </w:r>
      <w:r w:rsidRPr="008E03CF">
        <w:rPr>
          <w:rFonts w:ascii="Arial" w:eastAsia="Calibri" w:hAnsi="Arial" w:cs="Arial"/>
          <w:sz w:val="24"/>
          <w:szCs w:val="24"/>
          <w:lang w:eastAsia="en-US"/>
        </w:rPr>
        <w:t>von 37 Wochenstunden vereinbart, der Differenzbetrag wurde jedoch auf einem Arbeitszeitkonto unverfallbar gutgeschrieben, das entweder durch bezahlten Freizeitausgleich oder durch direkte finanzielle Abgeltung ausgeglichen werden konnte. Vor dem Hintergrund, dass diese Regelung den Stundenlohn unverändert ließ und ein entgeltlicher Ausgleich der Mehrarbeit erfolgte, erweist sich diese Regelung für die Tariflohnentwicklung als neutral.</w:t>
      </w:r>
      <w:r w:rsidR="00CE5E40">
        <w:rPr>
          <w:rFonts w:ascii="Arial" w:eastAsia="Calibri" w:hAnsi="Arial" w:cs="Arial"/>
          <w:sz w:val="24"/>
          <w:szCs w:val="24"/>
          <w:lang w:eastAsia="en-US"/>
        </w:rPr>
        <w:t xml:space="preserve"> </w:t>
      </w:r>
    </w:p>
    <w:p w14:paraId="78F47F7C" w14:textId="77777777" w:rsidR="000C4B24" w:rsidRDefault="000C4B24" w:rsidP="009C0C02">
      <w:pPr>
        <w:overflowPunct/>
        <w:spacing w:line="276" w:lineRule="auto"/>
        <w:jc w:val="both"/>
        <w:textAlignment w:val="auto"/>
        <w:rPr>
          <w:rFonts w:ascii="Arial" w:eastAsia="Calibri" w:hAnsi="Arial" w:cs="Arial"/>
          <w:sz w:val="24"/>
          <w:szCs w:val="24"/>
          <w:lang w:eastAsia="en-US"/>
        </w:rPr>
      </w:pPr>
    </w:p>
    <w:p w14:paraId="61DDF02F" w14:textId="06CFD68E" w:rsidR="000C4B24" w:rsidRDefault="000C4B24" w:rsidP="009C0C0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In den Jahren 2005 bis 2009 wurden die Tarifentgelte nicht erhöht, da jeweils sog. Nullrunden</w:t>
      </w:r>
      <w:r w:rsidR="00BD7735">
        <w:rPr>
          <w:rFonts w:ascii="Arial" w:eastAsia="Calibri" w:hAnsi="Arial" w:cs="Arial"/>
          <w:sz w:val="24"/>
          <w:szCs w:val="24"/>
          <w:lang w:eastAsia="en-US"/>
        </w:rPr>
        <w:t xml:space="preserve"> vereinbart wurden.</w:t>
      </w:r>
    </w:p>
    <w:p w14:paraId="0C7D0C4D" w14:textId="344D9E2B" w:rsidR="008E03CF" w:rsidRDefault="008E03CF" w:rsidP="009C0C02">
      <w:pPr>
        <w:overflowPunct/>
        <w:spacing w:line="276" w:lineRule="auto"/>
        <w:jc w:val="both"/>
        <w:textAlignment w:val="auto"/>
        <w:rPr>
          <w:rFonts w:ascii="Arial" w:eastAsia="Calibri" w:hAnsi="Arial" w:cs="Arial"/>
          <w:sz w:val="24"/>
          <w:szCs w:val="24"/>
          <w:lang w:eastAsia="en-US"/>
        </w:rPr>
      </w:pPr>
    </w:p>
    <w:p w14:paraId="20B9BA4E" w14:textId="06D7C710" w:rsidR="008E03CF" w:rsidRDefault="008E03CF" w:rsidP="009C0C02">
      <w:pPr>
        <w:overflowPunct/>
        <w:spacing w:line="276" w:lineRule="auto"/>
        <w:jc w:val="both"/>
        <w:textAlignment w:val="auto"/>
        <w:rPr>
          <w:rFonts w:ascii="Arial" w:eastAsia="Calibri" w:hAnsi="Arial" w:cs="Arial"/>
          <w:sz w:val="24"/>
          <w:szCs w:val="24"/>
          <w:lang w:eastAsia="en-US"/>
        </w:rPr>
      </w:pPr>
      <w:r w:rsidRPr="008E03CF">
        <w:rPr>
          <w:rFonts w:ascii="Arial" w:eastAsia="Calibri" w:hAnsi="Arial" w:cs="Arial"/>
          <w:sz w:val="24"/>
          <w:szCs w:val="24"/>
          <w:lang w:eastAsia="en-US"/>
        </w:rPr>
        <w:t xml:space="preserve">bb) Mit dem Tarifvertrag zur Angleichung des Tarifrechts des Landes Berlin an das Tarifrecht der Tarifgemeinschaft deutscher Länder (Angleichungs-TV Land Berlin) vom 14. Oktober 2010 wurde für die Angestellten des Landes Berlin im Grundsatz das Recht des Tarifgebiets West des TV-L dynamisch zur Anwendung gebracht. Nach einer Übergangsphase waren ab dem 1. August 2011 im Ausgangspunkt die Entgelte des TV-L in der jeweils gültigen Fassung maßgeblich. Von den TV-L-Entgelten wurde zunächst ein Betrag von 97 % gezahlt; dieser Abschlag wurde in den darauffolgenden Jahren sukzessive </w:t>
      </w:r>
      <w:r w:rsidR="0081062D">
        <w:rPr>
          <w:rFonts w:ascii="Arial" w:eastAsia="Calibri" w:hAnsi="Arial" w:cs="Arial"/>
          <w:sz w:val="24"/>
          <w:szCs w:val="24"/>
          <w:lang w:eastAsia="en-US"/>
        </w:rPr>
        <w:t>ge</w:t>
      </w:r>
      <w:r w:rsidRPr="008E03CF">
        <w:rPr>
          <w:rFonts w:ascii="Arial" w:eastAsia="Calibri" w:hAnsi="Arial" w:cs="Arial"/>
          <w:sz w:val="24"/>
          <w:szCs w:val="24"/>
          <w:lang w:eastAsia="en-US"/>
        </w:rPr>
        <w:t>kürzt. Die Arbeitszeit wurde ebenso angeglichen, wobei zwischenzeitlich erwirtschaftete Arbeitszeitguthaben fortgeschrieben wurden. Bei der Überleitung in die grundlegend umgestaltete Tarifstruktur des TV-L kamen Besitzstandswahrungsregelungen zur Anwendung, so dass eine reale Verminderung der Entgelte bei Bestandsbeschäftigten ausgeschlossen war (vgl. Bochmann, ZTR 2011, S. 459 &lt;464 ff.&gt;).</w:t>
      </w:r>
    </w:p>
    <w:p w14:paraId="171C0F2E" w14:textId="2A7F15D4" w:rsidR="008E03CF" w:rsidRDefault="008E03CF" w:rsidP="009C0C02">
      <w:pPr>
        <w:overflowPunct/>
        <w:spacing w:line="276" w:lineRule="auto"/>
        <w:jc w:val="both"/>
        <w:textAlignment w:val="auto"/>
        <w:rPr>
          <w:rFonts w:ascii="Arial" w:eastAsia="Calibri" w:hAnsi="Arial" w:cs="Arial"/>
          <w:sz w:val="24"/>
          <w:szCs w:val="24"/>
          <w:lang w:eastAsia="en-US"/>
        </w:rPr>
      </w:pPr>
    </w:p>
    <w:p w14:paraId="68752FBE" w14:textId="74A8395A" w:rsidR="008E03CF" w:rsidRDefault="008E03CF" w:rsidP="009C0C02">
      <w:pPr>
        <w:overflowPunct/>
        <w:spacing w:line="276" w:lineRule="auto"/>
        <w:jc w:val="both"/>
        <w:textAlignment w:val="auto"/>
        <w:rPr>
          <w:rFonts w:ascii="Arial" w:eastAsia="Calibri" w:hAnsi="Arial" w:cs="Arial"/>
          <w:sz w:val="24"/>
          <w:szCs w:val="24"/>
          <w:lang w:eastAsia="en-US"/>
        </w:rPr>
      </w:pPr>
      <w:r w:rsidRPr="008E03CF">
        <w:rPr>
          <w:rFonts w:ascii="Arial" w:eastAsia="Calibri" w:hAnsi="Arial" w:cs="Arial"/>
          <w:sz w:val="24"/>
          <w:szCs w:val="24"/>
          <w:lang w:eastAsia="en-US"/>
        </w:rPr>
        <w:t>Der Angleichungs-TV Land Berlin hatte darüber hinaus zur Folge, dass die in den Vorjahren im Bereich des TV-L vereinbarten Tariferhöhungen (2008: 2,8 %, 2009: 3,0 % und 2010: 1,2</w:t>
      </w:r>
      <w:r w:rsidR="0075373F">
        <w:rPr>
          <w:rFonts w:ascii="Arial" w:eastAsia="Calibri" w:hAnsi="Arial" w:cs="Arial"/>
          <w:sz w:val="24"/>
          <w:szCs w:val="24"/>
          <w:lang w:eastAsia="en-US"/>
        </w:rPr>
        <w:t> </w:t>
      </w:r>
      <w:r w:rsidRPr="008E03CF">
        <w:rPr>
          <w:rFonts w:ascii="Arial" w:eastAsia="Calibri" w:hAnsi="Arial" w:cs="Arial"/>
          <w:sz w:val="24"/>
          <w:szCs w:val="24"/>
          <w:lang w:eastAsia="en-US"/>
        </w:rPr>
        <w:t>%) nachgeholt wurden. Geht man aus Gründen der Vereinfachung von einer vollständigen Angleichung aus, kann ab dem Jahr 2011 wieder der vom Statistischen Bundesamt für den Bereich der TV-L ermittelte Tarif</w:t>
      </w:r>
      <w:r w:rsidR="003A6E82">
        <w:rPr>
          <w:rFonts w:ascii="Arial" w:eastAsia="Calibri" w:hAnsi="Arial" w:cs="Arial"/>
          <w:sz w:val="24"/>
          <w:szCs w:val="24"/>
          <w:lang w:eastAsia="en-US"/>
        </w:rPr>
        <w:t>lohn</w:t>
      </w:r>
      <w:r w:rsidRPr="008E03CF">
        <w:rPr>
          <w:rFonts w:ascii="Arial" w:eastAsia="Calibri" w:hAnsi="Arial" w:cs="Arial"/>
          <w:sz w:val="24"/>
          <w:szCs w:val="24"/>
          <w:lang w:eastAsia="en-US"/>
        </w:rPr>
        <w:t>index angesetzt werden. Aus dessen Verhältnis zum für Berlin errechneten Indexstand des Vorjahres ergibt sich ein Steigerungswert von 8,87 %. Dieser fiele etwas niedriger und derjenige in den Folgejahren etwas höher aus, würde man die Annäherung an das TV-L-Niveau im Wege einer „Spitzausrechnung“ exakt nachvollziehen. Auf den klaren Befund, dass der Schwellenwert für die Jahre nach 2011 überwiegend zweistellig überschritten worden ist, hätte dies jedoch keinen Einfluss. Die Angleichung von Arbeitszeit und Arbeitslohn wirkt sich – wie die Absenkung im Jahr 2003 – auf den Tarif</w:t>
      </w:r>
      <w:r w:rsidR="003A6E82">
        <w:rPr>
          <w:rFonts w:ascii="Arial" w:eastAsia="Calibri" w:hAnsi="Arial" w:cs="Arial"/>
          <w:sz w:val="24"/>
          <w:szCs w:val="24"/>
          <w:lang w:eastAsia="en-US"/>
        </w:rPr>
        <w:t>lohn</w:t>
      </w:r>
      <w:r w:rsidRPr="008E03CF">
        <w:rPr>
          <w:rFonts w:ascii="Arial" w:eastAsia="Calibri" w:hAnsi="Arial" w:cs="Arial"/>
          <w:sz w:val="24"/>
          <w:szCs w:val="24"/>
          <w:lang w:eastAsia="en-US"/>
        </w:rPr>
        <w:t>index nicht aus.</w:t>
      </w:r>
    </w:p>
    <w:p w14:paraId="1EC49703" w14:textId="76E20ADB" w:rsidR="008E03CF" w:rsidRDefault="008E03CF" w:rsidP="009C0C02">
      <w:pPr>
        <w:overflowPunct/>
        <w:spacing w:line="276" w:lineRule="auto"/>
        <w:jc w:val="both"/>
        <w:textAlignment w:val="auto"/>
        <w:rPr>
          <w:rFonts w:ascii="Arial" w:eastAsia="Calibri" w:hAnsi="Arial" w:cs="Arial"/>
          <w:sz w:val="24"/>
          <w:szCs w:val="24"/>
          <w:lang w:eastAsia="en-US"/>
        </w:rPr>
      </w:pPr>
    </w:p>
    <w:p w14:paraId="233A1A0C" w14:textId="5BE74FDC" w:rsidR="003C62B9" w:rsidRDefault="008D5F71" w:rsidP="009C0C02">
      <w:pPr>
        <w:overflowPunct/>
        <w:spacing w:line="276" w:lineRule="auto"/>
        <w:jc w:val="both"/>
        <w:textAlignment w:val="auto"/>
        <w:rPr>
          <w:rFonts w:ascii="Arial" w:eastAsia="Calibri" w:hAnsi="Arial" w:cs="Arial"/>
          <w:sz w:val="24"/>
          <w:szCs w:val="24"/>
          <w:lang w:eastAsia="en-US"/>
        </w:rPr>
      </w:pPr>
      <w:r w:rsidRPr="008D5F71">
        <w:rPr>
          <w:rFonts w:ascii="Arial" w:eastAsia="Calibri" w:hAnsi="Arial" w:cs="Arial"/>
          <w:sz w:val="24"/>
          <w:szCs w:val="24"/>
          <w:lang w:eastAsia="en-US"/>
        </w:rPr>
        <w:t xml:space="preserve">cc) </w:t>
      </w:r>
      <w:r w:rsidR="003C62B9">
        <w:rPr>
          <w:rFonts w:ascii="Arial" w:eastAsia="Calibri" w:hAnsi="Arial" w:cs="Arial"/>
          <w:sz w:val="24"/>
          <w:szCs w:val="24"/>
          <w:lang w:eastAsia="en-US"/>
        </w:rPr>
        <w:t>Die Tarifentwicklung überstieg die Besoldungsentwicklung in allen Jahren des Betrachtungszeitraums</w:t>
      </w:r>
      <w:r w:rsidR="00AD3D85">
        <w:rPr>
          <w:rFonts w:ascii="Arial" w:eastAsia="Calibri" w:hAnsi="Arial" w:cs="Arial"/>
          <w:sz w:val="24"/>
          <w:szCs w:val="24"/>
          <w:lang w:eastAsia="en-US"/>
        </w:rPr>
        <w:t>, in den Jahren 2016 und 2017 übermäßig</w:t>
      </w:r>
      <w:r w:rsidR="003C62B9">
        <w:rPr>
          <w:rFonts w:ascii="Arial" w:eastAsia="Calibri" w:hAnsi="Arial" w:cs="Arial"/>
          <w:sz w:val="24"/>
          <w:szCs w:val="24"/>
          <w:lang w:eastAsia="en-US"/>
        </w:rPr>
        <w:t>.</w:t>
      </w:r>
    </w:p>
    <w:p w14:paraId="523CD655" w14:textId="77777777" w:rsidR="00647537" w:rsidRDefault="00647537" w:rsidP="009C0C02">
      <w:pPr>
        <w:overflowPunct/>
        <w:spacing w:line="276" w:lineRule="auto"/>
        <w:jc w:val="both"/>
        <w:textAlignment w:val="auto"/>
        <w:rPr>
          <w:rFonts w:ascii="Arial" w:eastAsia="Calibri" w:hAnsi="Arial" w:cs="Arial"/>
          <w:sz w:val="24"/>
          <w:szCs w:val="24"/>
          <w:lang w:eastAsia="en-US"/>
        </w:rPr>
      </w:pPr>
    </w:p>
    <w:p w14:paraId="530B39E7" w14:textId="3DACE92D" w:rsidR="004B6AC8" w:rsidRDefault="008D5F71" w:rsidP="009C0C02">
      <w:pPr>
        <w:overflowPunct/>
        <w:spacing w:line="276" w:lineRule="auto"/>
        <w:jc w:val="both"/>
        <w:textAlignment w:val="auto"/>
        <w:rPr>
          <w:rFonts w:ascii="Arial" w:eastAsia="Calibri" w:hAnsi="Arial" w:cs="Arial"/>
          <w:sz w:val="24"/>
          <w:szCs w:val="24"/>
          <w:lang w:eastAsia="en-US"/>
        </w:rPr>
      </w:pPr>
      <w:r w:rsidRPr="008D5F71">
        <w:rPr>
          <w:rFonts w:ascii="Arial" w:eastAsia="Calibri" w:hAnsi="Arial" w:cs="Arial"/>
          <w:sz w:val="24"/>
          <w:szCs w:val="24"/>
          <w:lang w:eastAsia="en-US"/>
        </w:rPr>
        <w:t xml:space="preserve">Die </w:t>
      </w:r>
      <w:bookmarkStart w:id="16" w:name="_Hlk89080576"/>
      <w:r w:rsidRPr="008D5F71">
        <w:rPr>
          <w:rFonts w:ascii="Arial" w:eastAsia="Calibri" w:hAnsi="Arial" w:cs="Arial"/>
          <w:sz w:val="24"/>
          <w:szCs w:val="24"/>
          <w:lang w:eastAsia="en-US"/>
        </w:rPr>
        <w:t>Differenz zwischen der Entwicklung der Tarifeinkommen im öffentlichen Dienst, des Nominallohnindex</w:t>
      </w:r>
      <w:bookmarkEnd w:id="16"/>
      <w:r w:rsidRPr="008D5F71">
        <w:rPr>
          <w:rFonts w:ascii="Arial" w:eastAsia="Calibri" w:hAnsi="Arial" w:cs="Arial"/>
          <w:sz w:val="24"/>
          <w:szCs w:val="24"/>
          <w:lang w:eastAsia="en-US"/>
        </w:rPr>
        <w:t xml:space="preserve"> und des Verbraucherpreisindex (100 + x) einerseits </w:t>
      </w:r>
      <w:bookmarkStart w:id="17" w:name="_Hlk89080798"/>
      <w:r w:rsidRPr="008D5F71">
        <w:rPr>
          <w:rFonts w:ascii="Arial" w:eastAsia="Calibri" w:hAnsi="Arial" w:cs="Arial"/>
          <w:sz w:val="24"/>
          <w:szCs w:val="24"/>
          <w:lang w:eastAsia="en-US"/>
        </w:rPr>
        <w:t xml:space="preserve">und der Besoldungsentwicklung (100 + y) andererseits wird in Relation zur Besoldungsentwicklung in Prozent wie folgt </w:t>
      </w:r>
      <w:bookmarkEnd w:id="17"/>
      <w:r w:rsidRPr="008D5F71">
        <w:rPr>
          <w:rFonts w:ascii="Arial" w:eastAsia="Calibri" w:hAnsi="Arial" w:cs="Arial"/>
          <w:sz w:val="24"/>
          <w:szCs w:val="24"/>
          <w:lang w:eastAsia="en-US"/>
        </w:rPr>
        <w:t xml:space="preserve">ermittelt: [(100 + x) / (100 + y)] x 100 - 100 (vgl. </w:t>
      </w:r>
      <w:r w:rsidR="00EC3675" w:rsidRPr="00EC3675">
        <w:rPr>
          <w:rFonts w:ascii="Arial" w:eastAsia="Calibri" w:hAnsi="Arial" w:cs="Arial"/>
          <w:sz w:val="24"/>
          <w:szCs w:val="24"/>
          <w:lang w:eastAsia="en-US"/>
        </w:rPr>
        <w:t>BVerfG, Urt. v. 5.5.2015, 2 BvL 17/09 u.a., Juris Rn.</w:t>
      </w:r>
      <w:r w:rsidRPr="008D5F71">
        <w:rPr>
          <w:rFonts w:ascii="Arial" w:eastAsia="Calibri" w:hAnsi="Arial" w:cs="Arial"/>
          <w:sz w:val="24"/>
          <w:szCs w:val="24"/>
          <w:lang w:eastAsia="en-US"/>
        </w:rPr>
        <w:t xml:space="preserve">144). </w:t>
      </w:r>
    </w:p>
    <w:p w14:paraId="095612E8" w14:textId="77777777" w:rsidR="004B6AC8" w:rsidRDefault="004B6AC8" w:rsidP="009C0C02">
      <w:pPr>
        <w:overflowPunct/>
        <w:spacing w:line="276" w:lineRule="auto"/>
        <w:jc w:val="both"/>
        <w:textAlignment w:val="auto"/>
        <w:rPr>
          <w:rFonts w:ascii="Arial" w:eastAsia="Calibri" w:hAnsi="Arial" w:cs="Arial"/>
          <w:sz w:val="24"/>
          <w:szCs w:val="24"/>
          <w:lang w:eastAsia="en-US"/>
        </w:rPr>
      </w:pPr>
    </w:p>
    <w:p w14:paraId="5F0ABC8B" w14:textId="7A302109" w:rsidR="008D5F71" w:rsidRDefault="008D5F71" w:rsidP="009C0C02">
      <w:pPr>
        <w:overflowPunct/>
        <w:spacing w:line="276" w:lineRule="auto"/>
        <w:jc w:val="both"/>
        <w:textAlignment w:val="auto"/>
        <w:rPr>
          <w:rFonts w:ascii="Arial" w:eastAsia="Calibri" w:hAnsi="Arial" w:cs="Arial"/>
          <w:sz w:val="24"/>
          <w:szCs w:val="24"/>
          <w:lang w:eastAsia="en-US"/>
        </w:rPr>
      </w:pPr>
      <w:bookmarkStart w:id="18" w:name="_Hlk89079680"/>
      <w:r w:rsidRPr="008345F7">
        <w:rPr>
          <w:rFonts w:ascii="Arial" w:eastAsia="Calibri" w:hAnsi="Arial" w:cs="Arial"/>
          <w:sz w:val="24"/>
          <w:szCs w:val="24"/>
          <w:lang w:eastAsia="en-US"/>
        </w:rPr>
        <w:t xml:space="preserve">Vergleicht man die Entwicklung der Einkommen der Tarifbeschäftigten im öffentlichen Dienst </w:t>
      </w:r>
      <w:r w:rsidR="008345F7" w:rsidRPr="008345F7">
        <w:rPr>
          <w:rFonts w:ascii="Arial" w:eastAsia="Calibri" w:hAnsi="Arial" w:cs="Arial"/>
          <w:sz w:val="24"/>
          <w:szCs w:val="24"/>
          <w:lang w:eastAsia="en-US"/>
        </w:rPr>
        <w:t xml:space="preserve">auf der Grundlage der vom </w:t>
      </w:r>
      <w:r w:rsidR="009646C2" w:rsidRPr="008345F7">
        <w:rPr>
          <w:rFonts w:ascii="Arial" w:eastAsia="Calibri" w:hAnsi="Arial" w:cs="Arial"/>
          <w:sz w:val="24"/>
          <w:szCs w:val="24"/>
          <w:lang w:eastAsia="en-US"/>
        </w:rPr>
        <w:t>Statistischen Bundesamt</w:t>
      </w:r>
      <w:r w:rsidR="008345F7" w:rsidRPr="008345F7">
        <w:rPr>
          <w:rFonts w:ascii="Arial" w:eastAsia="Calibri" w:hAnsi="Arial" w:cs="Arial"/>
          <w:sz w:val="24"/>
          <w:szCs w:val="24"/>
          <w:lang w:eastAsia="en-US"/>
        </w:rPr>
        <w:t xml:space="preserve"> </w:t>
      </w:r>
      <w:r w:rsidR="008345F7">
        <w:rPr>
          <w:rFonts w:ascii="Arial" w:eastAsia="Calibri" w:hAnsi="Arial" w:cs="Arial"/>
          <w:sz w:val="24"/>
          <w:szCs w:val="24"/>
          <w:lang w:eastAsia="en-US"/>
        </w:rPr>
        <w:t xml:space="preserve">für Berlin </w:t>
      </w:r>
      <w:r w:rsidR="008345F7" w:rsidRPr="008345F7">
        <w:rPr>
          <w:rFonts w:ascii="Arial" w:eastAsia="Calibri" w:hAnsi="Arial" w:cs="Arial"/>
          <w:sz w:val="24"/>
          <w:szCs w:val="24"/>
          <w:lang w:eastAsia="en-US"/>
        </w:rPr>
        <w:t>veröffentlichen Zahlen (</w:t>
      </w:r>
      <w:bookmarkStart w:id="19" w:name="_Hlk88571013"/>
      <w:r w:rsidR="008345F7" w:rsidRPr="008345F7">
        <w:rPr>
          <w:rFonts w:ascii="Arial" w:eastAsia="Calibri" w:hAnsi="Arial" w:cs="Arial"/>
          <w:sz w:val="24"/>
          <w:szCs w:val="24"/>
          <w:lang w:eastAsia="en-US"/>
        </w:rPr>
        <w:t>Verdienste und Arbeitskosten, Auflage 2021, dort Seite 42</w:t>
      </w:r>
      <w:bookmarkEnd w:id="19"/>
      <w:r w:rsidR="008345F7" w:rsidRPr="008345F7">
        <w:rPr>
          <w:rFonts w:ascii="Arial" w:eastAsia="Calibri" w:hAnsi="Arial" w:cs="Arial"/>
          <w:sz w:val="24"/>
          <w:szCs w:val="24"/>
          <w:lang w:eastAsia="en-US"/>
        </w:rPr>
        <w:t>)</w:t>
      </w:r>
      <w:r w:rsidR="009646C2" w:rsidRPr="008345F7">
        <w:rPr>
          <w:rFonts w:ascii="Arial" w:eastAsia="Calibri" w:hAnsi="Arial" w:cs="Arial"/>
          <w:sz w:val="24"/>
          <w:szCs w:val="24"/>
          <w:lang w:eastAsia="en-US"/>
        </w:rPr>
        <w:t xml:space="preserve"> </w:t>
      </w:r>
      <w:r w:rsidRPr="008345F7">
        <w:rPr>
          <w:rFonts w:ascii="Arial" w:eastAsia="Calibri" w:hAnsi="Arial" w:cs="Arial"/>
          <w:sz w:val="24"/>
          <w:szCs w:val="24"/>
          <w:lang w:eastAsia="en-US"/>
        </w:rPr>
        <w:t xml:space="preserve">mit der Besoldungsentwicklung, </w:t>
      </w:r>
      <w:bookmarkEnd w:id="18"/>
      <w:r w:rsidRPr="008345F7">
        <w:rPr>
          <w:rFonts w:ascii="Arial" w:eastAsia="Calibri" w:hAnsi="Arial" w:cs="Arial"/>
          <w:sz w:val="24"/>
          <w:szCs w:val="24"/>
          <w:lang w:eastAsia="en-US"/>
        </w:rPr>
        <w:t xml:space="preserve">zeigt sich, dass die Tarifentwicklung die Besoldungsentwicklung </w:t>
      </w:r>
      <w:r w:rsidR="00AD3D85">
        <w:rPr>
          <w:rFonts w:ascii="Arial" w:eastAsia="Calibri" w:hAnsi="Arial" w:cs="Arial"/>
          <w:sz w:val="24"/>
          <w:szCs w:val="24"/>
          <w:lang w:eastAsia="en-US"/>
        </w:rPr>
        <w:t xml:space="preserve">in allen Jahren, </w:t>
      </w:r>
      <w:r w:rsidRPr="008345F7">
        <w:rPr>
          <w:rFonts w:ascii="Arial" w:eastAsia="Calibri" w:hAnsi="Arial" w:cs="Arial"/>
          <w:sz w:val="24"/>
          <w:szCs w:val="24"/>
          <w:lang w:eastAsia="en-US"/>
        </w:rPr>
        <w:t xml:space="preserve">in </w:t>
      </w:r>
      <w:r w:rsidR="004B6AC8" w:rsidRPr="008345F7">
        <w:rPr>
          <w:rFonts w:ascii="Arial" w:eastAsia="Calibri" w:hAnsi="Arial" w:cs="Arial"/>
          <w:sz w:val="24"/>
          <w:szCs w:val="24"/>
          <w:lang w:eastAsia="en-US"/>
        </w:rPr>
        <w:t xml:space="preserve">den ersten beiden </w:t>
      </w:r>
      <w:r w:rsidRPr="008345F7">
        <w:rPr>
          <w:rFonts w:ascii="Arial" w:eastAsia="Calibri" w:hAnsi="Arial" w:cs="Arial"/>
          <w:sz w:val="24"/>
          <w:szCs w:val="24"/>
          <w:lang w:eastAsia="en-US"/>
        </w:rPr>
        <w:t xml:space="preserve">verfahrensgegenständlichen </w:t>
      </w:r>
      <w:r w:rsidRPr="008D5F71">
        <w:rPr>
          <w:rFonts w:ascii="Arial" w:eastAsia="Calibri" w:hAnsi="Arial" w:cs="Arial"/>
          <w:sz w:val="24"/>
          <w:szCs w:val="24"/>
          <w:lang w:eastAsia="en-US"/>
        </w:rPr>
        <w:t xml:space="preserve">Jahren </w:t>
      </w:r>
      <w:r w:rsidR="00AD3D85">
        <w:rPr>
          <w:rFonts w:ascii="Arial" w:eastAsia="Calibri" w:hAnsi="Arial" w:cs="Arial"/>
          <w:sz w:val="24"/>
          <w:szCs w:val="24"/>
          <w:lang w:eastAsia="en-US"/>
        </w:rPr>
        <w:t xml:space="preserve">sogar </w:t>
      </w:r>
      <w:r w:rsidRPr="008D5F71">
        <w:rPr>
          <w:rFonts w:ascii="Arial" w:eastAsia="Calibri" w:hAnsi="Arial" w:cs="Arial"/>
          <w:sz w:val="24"/>
          <w:szCs w:val="24"/>
          <w:lang w:eastAsia="en-US"/>
        </w:rPr>
        <w:t xml:space="preserve">um </w:t>
      </w:r>
      <w:r w:rsidR="004B6AC8">
        <w:rPr>
          <w:rFonts w:ascii="Arial" w:eastAsia="Calibri" w:hAnsi="Arial" w:cs="Arial"/>
          <w:sz w:val="24"/>
          <w:szCs w:val="24"/>
          <w:lang w:eastAsia="en-US"/>
        </w:rPr>
        <w:t xml:space="preserve">deutlich </w:t>
      </w:r>
      <w:r w:rsidRPr="008D5F71">
        <w:rPr>
          <w:rFonts w:ascii="Arial" w:eastAsia="Calibri" w:hAnsi="Arial" w:cs="Arial"/>
          <w:sz w:val="24"/>
          <w:szCs w:val="24"/>
          <w:lang w:eastAsia="en-US"/>
        </w:rPr>
        <w:t>mehr als 5 %</w:t>
      </w:r>
      <w:r w:rsidR="0081062D">
        <w:rPr>
          <w:rFonts w:ascii="Arial" w:eastAsia="Calibri" w:hAnsi="Arial" w:cs="Arial"/>
          <w:sz w:val="24"/>
          <w:szCs w:val="24"/>
          <w:lang w:eastAsia="en-US"/>
        </w:rPr>
        <w:t>,</w:t>
      </w:r>
      <w:r w:rsidRPr="008D5F71">
        <w:rPr>
          <w:rFonts w:ascii="Arial" w:eastAsia="Calibri" w:hAnsi="Arial" w:cs="Arial"/>
          <w:sz w:val="24"/>
          <w:szCs w:val="24"/>
          <w:lang w:eastAsia="en-US"/>
        </w:rPr>
        <w:t xml:space="preserve"> überschritten hat. </w:t>
      </w:r>
    </w:p>
    <w:p w14:paraId="4780D1F4" w14:textId="77777777" w:rsidR="004E2F98" w:rsidRDefault="004E2F98" w:rsidP="009C0C02">
      <w:pPr>
        <w:overflowPunct/>
        <w:spacing w:line="276" w:lineRule="auto"/>
        <w:jc w:val="both"/>
        <w:textAlignment w:val="auto"/>
        <w:rPr>
          <w:rFonts w:ascii="Arial" w:eastAsia="Calibri" w:hAnsi="Arial" w:cs="Arial"/>
          <w:sz w:val="24"/>
          <w:szCs w:val="24"/>
          <w:lang w:eastAsia="en-US"/>
        </w:rPr>
      </w:pPr>
    </w:p>
    <w:p w14:paraId="301BF41D" w14:textId="667EDEAD" w:rsidR="00A22494" w:rsidRDefault="00A22494" w:rsidP="009C0C02">
      <w:pPr>
        <w:overflowPunct/>
        <w:spacing w:line="276" w:lineRule="auto"/>
        <w:ind w:left="2832"/>
        <w:textAlignment w:val="auto"/>
        <w:rPr>
          <w:rFonts w:ascii="Arial" w:eastAsia="Calibri" w:hAnsi="Arial" w:cs="Arial"/>
          <w:sz w:val="24"/>
          <w:szCs w:val="24"/>
          <w:lang w:eastAsia="en-US"/>
        </w:rPr>
      </w:pPr>
    </w:p>
    <w:tbl>
      <w:tblPr>
        <w:tblW w:w="7540" w:type="dxa"/>
        <w:tblInd w:w="801" w:type="dxa"/>
        <w:tblCellMar>
          <w:left w:w="70" w:type="dxa"/>
          <w:right w:w="70" w:type="dxa"/>
        </w:tblCellMar>
        <w:tblLook w:val="04A0" w:firstRow="1" w:lastRow="0" w:firstColumn="1" w:lastColumn="0" w:noHBand="0" w:noVBand="1"/>
      </w:tblPr>
      <w:tblGrid>
        <w:gridCol w:w="1480"/>
        <w:gridCol w:w="1420"/>
        <w:gridCol w:w="1440"/>
        <w:gridCol w:w="1540"/>
        <w:gridCol w:w="1660"/>
      </w:tblGrid>
      <w:tr w:rsidR="00D67D80" w:rsidRPr="00D67D80" w14:paraId="72D08B7F" w14:textId="77777777" w:rsidTr="00D67D80">
        <w:trPr>
          <w:trHeight w:val="300"/>
        </w:trPr>
        <w:tc>
          <w:tcPr>
            <w:tcW w:w="7540" w:type="dxa"/>
            <w:gridSpan w:val="5"/>
            <w:tcBorders>
              <w:top w:val="double" w:sz="6" w:space="0" w:color="auto"/>
              <w:left w:val="double" w:sz="6" w:space="0" w:color="auto"/>
              <w:bottom w:val="nil"/>
              <w:right w:val="double" w:sz="6" w:space="0" w:color="000000"/>
            </w:tcBorders>
            <w:shd w:val="clear" w:color="auto" w:fill="auto"/>
            <w:vAlign w:val="bottom"/>
            <w:hideMark/>
          </w:tcPr>
          <w:p w14:paraId="0C63FC3E"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lastRenderedPageBreak/>
              <w:t>Besoldungsgruppe R 1</w:t>
            </w:r>
          </w:p>
        </w:tc>
      </w:tr>
      <w:tr w:rsidR="00D67D80" w:rsidRPr="00D67D80" w14:paraId="2F3141B6" w14:textId="77777777" w:rsidTr="00D67D80">
        <w:trPr>
          <w:trHeight w:val="828"/>
        </w:trPr>
        <w:tc>
          <w:tcPr>
            <w:tcW w:w="14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5847116"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4F32CD7" w14:textId="137B9953"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Anstieg Tarifverdienste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0BF167"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Anstieg der Besoldung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5389FDB"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1. Parameter </w:t>
            </w:r>
          </w:p>
        </w:tc>
        <w:tc>
          <w:tcPr>
            <w:tcW w:w="1660" w:type="dxa"/>
            <w:tcBorders>
              <w:top w:val="single" w:sz="4" w:space="0" w:color="auto"/>
              <w:left w:val="nil"/>
              <w:bottom w:val="single" w:sz="4" w:space="0" w:color="auto"/>
              <w:right w:val="double" w:sz="6" w:space="0" w:color="auto"/>
            </w:tcBorders>
            <w:shd w:val="clear" w:color="auto" w:fill="auto"/>
            <w:vAlign w:val="center"/>
            <w:hideMark/>
          </w:tcPr>
          <w:p w14:paraId="4859918A" w14:textId="77777777" w:rsidR="00D67D80" w:rsidRPr="009C0C02" w:rsidRDefault="00D67D80" w:rsidP="00D67D80">
            <w:pPr>
              <w:overflowPunct/>
              <w:autoSpaceDE/>
              <w:autoSpaceDN/>
              <w:adjustRightInd/>
              <w:textAlignment w:val="auto"/>
              <w:rPr>
                <w:rFonts w:ascii="Arial" w:hAnsi="Arial" w:cs="Arial"/>
                <w:b/>
                <w:bCs/>
                <w:color w:val="000000"/>
              </w:rPr>
            </w:pPr>
            <w:r w:rsidRPr="009C0C02">
              <w:rPr>
                <w:rFonts w:ascii="Arial" w:hAnsi="Arial" w:cs="Arial"/>
                <w:b/>
                <w:bCs/>
                <w:color w:val="000000"/>
              </w:rPr>
              <w:t>Staffelprüfung</w:t>
            </w:r>
          </w:p>
        </w:tc>
      </w:tr>
      <w:tr w:rsidR="00D67D80" w:rsidRPr="00D67D80" w14:paraId="551C4ACA" w14:textId="77777777" w:rsidTr="00D67D80">
        <w:trPr>
          <w:trHeight w:val="288"/>
        </w:trPr>
        <w:tc>
          <w:tcPr>
            <w:tcW w:w="754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0FB2B026"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im 15-jährigen Betrachtungszeitraum (jeweils in %) </w:t>
            </w:r>
          </w:p>
        </w:tc>
      </w:tr>
      <w:tr w:rsidR="00D67D80" w:rsidRPr="00D67D80" w14:paraId="5FF3A699"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396E0EEF"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2016</w:t>
            </w:r>
          </w:p>
        </w:tc>
        <w:tc>
          <w:tcPr>
            <w:tcW w:w="1420" w:type="dxa"/>
            <w:tcBorders>
              <w:top w:val="nil"/>
              <w:left w:val="nil"/>
              <w:bottom w:val="nil"/>
              <w:right w:val="single" w:sz="4" w:space="0" w:color="auto"/>
            </w:tcBorders>
            <w:shd w:val="clear" w:color="auto" w:fill="auto"/>
            <w:noWrap/>
            <w:vAlign w:val="bottom"/>
            <w:hideMark/>
          </w:tcPr>
          <w:p w14:paraId="4E3FC1B6"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28,65</w:t>
            </w:r>
          </w:p>
        </w:tc>
        <w:tc>
          <w:tcPr>
            <w:tcW w:w="1440" w:type="dxa"/>
            <w:tcBorders>
              <w:top w:val="nil"/>
              <w:left w:val="nil"/>
              <w:bottom w:val="nil"/>
              <w:right w:val="single" w:sz="4" w:space="0" w:color="auto"/>
            </w:tcBorders>
            <w:shd w:val="clear" w:color="auto" w:fill="auto"/>
            <w:noWrap/>
            <w:vAlign w:val="bottom"/>
            <w:hideMark/>
          </w:tcPr>
          <w:p w14:paraId="7EF7499E"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18,82</w:t>
            </w:r>
          </w:p>
        </w:tc>
        <w:tc>
          <w:tcPr>
            <w:tcW w:w="1540" w:type="dxa"/>
            <w:tcBorders>
              <w:top w:val="nil"/>
              <w:left w:val="nil"/>
              <w:bottom w:val="nil"/>
              <w:right w:val="single" w:sz="4" w:space="0" w:color="auto"/>
            </w:tcBorders>
            <w:shd w:val="clear" w:color="auto" w:fill="auto"/>
            <w:noWrap/>
            <w:vAlign w:val="bottom"/>
            <w:hideMark/>
          </w:tcPr>
          <w:p w14:paraId="6FD01ED1"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8,28</w:t>
            </w:r>
          </w:p>
        </w:tc>
        <w:tc>
          <w:tcPr>
            <w:tcW w:w="1660" w:type="dxa"/>
            <w:tcBorders>
              <w:top w:val="nil"/>
              <w:left w:val="nil"/>
              <w:bottom w:val="nil"/>
              <w:right w:val="double" w:sz="6" w:space="0" w:color="auto"/>
            </w:tcBorders>
            <w:shd w:val="clear" w:color="auto" w:fill="auto"/>
            <w:noWrap/>
            <w:vAlign w:val="bottom"/>
            <w:hideMark/>
          </w:tcPr>
          <w:p w14:paraId="1E3B31D6"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11,62</w:t>
            </w:r>
          </w:p>
        </w:tc>
      </w:tr>
      <w:tr w:rsidR="00D67D80" w:rsidRPr="00D67D80" w14:paraId="4E8DF9BA"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214B1CD7"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2017</w:t>
            </w:r>
          </w:p>
        </w:tc>
        <w:tc>
          <w:tcPr>
            <w:tcW w:w="1420" w:type="dxa"/>
            <w:tcBorders>
              <w:top w:val="nil"/>
              <w:left w:val="nil"/>
              <w:bottom w:val="nil"/>
              <w:right w:val="single" w:sz="4" w:space="0" w:color="auto"/>
            </w:tcBorders>
            <w:shd w:val="clear" w:color="auto" w:fill="auto"/>
            <w:noWrap/>
            <w:vAlign w:val="bottom"/>
            <w:hideMark/>
          </w:tcPr>
          <w:p w14:paraId="599E351A"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31,22</w:t>
            </w:r>
          </w:p>
        </w:tc>
        <w:tc>
          <w:tcPr>
            <w:tcW w:w="1440" w:type="dxa"/>
            <w:tcBorders>
              <w:top w:val="nil"/>
              <w:left w:val="nil"/>
              <w:bottom w:val="nil"/>
              <w:right w:val="single" w:sz="4" w:space="0" w:color="auto"/>
            </w:tcBorders>
            <w:shd w:val="clear" w:color="auto" w:fill="auto"/>
            <w:noWrap/>
            <w:vAlign w:val="bottom"/>
            <w:hideMark/>
          </w:tcPr>
          <w:p w14:paraId="25680DD9"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19,54</w:t>
            </w:r>
          </w:p>
        </w:tc>
        <w:tc>
          <w:tcPr>
            <w:tcW w:w="1540" w:type="dxa"/>
            <w:tcBorders>
              <w:top w:val="nil"/>
              <w:left w:val="nil"/>
              <w:bottom w:val="nil"/>
              <w:right w:val="single" w:sz="4" w:space="0" w:color="auto"/>
            </w:tcBorders>
            <w:shd w:val="clear" w:color="auto" w:fill="auto"/>
            <w:noWrap/>
            <w:vAlign w:val="bottom"/>
            <w:hideMark/>
          </w:tcPr>
          <w:p w14:paraId="23E80AC9"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9,77</w:t>
            </w:r>
          </w:p>
        </w:tc>
        <w:tc>
          <w:tcPr>
            <w:tcW w:w="1660" w:type="dxa"/>
            <w:tcBorders>
              <w:top w:val="nil"/>
              <w:left w:val="nil"/>
              <w:bottom w:val="nil"/>
              <w:right w:val="double" w:sz="6" w:space="0" w:color="auto"/>
            </w:tcBorders>
            <w:shd w:val="clear" w:color="auto" w:fill="auto"/>
            <w:noWrap/>
            <w:vAlign w:val="bottom"/>
            <w:hideMark/>
          </w:tcPr>
          <w:p w14:paraId="17F28967"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11,52</w:t>
            </w:r>
          </w:p>
        </w:tc>
      </w:tr>
      <w:tr w:rsidR="00D67D80" w:rsidRPr="00D67D80" w14:paraId="075C6260"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37B22F16"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2018</w:t>
            </w:r>
          </w:p>
        </w:tc>
        <w:tc>
          <w:tcPr>
            <w:tcW w:w="1420" w:type="dxa"/>
            <w:tcBorders>
              <w:top w:val="nil"/>
              <w:left w:val="nil"/>
              <w:bottom w:val="nil"/>
              <w:right w:val="single" w:sz="4" w:space="0" w:color="auto"/>
            </w:tcBorders>
            <w:shd w:val="clear" w:color="auto" w:fill="auto"/>
            <w:noWrap/>
            <w:vAlign w:val="bottom"/>
            <w:hideMark/>
          </w:tcPr>
          <w:p w14:paraId="49C522A7"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31,16</w:t>
            </w:r>
          </w:p>
        </w:tc>
        <w:tc>
          <w:tcPr>
            <w:tcW w:w="1440" w:type="dxa"/>
            <w:tcBorders>
              <w:top w:val="nil"/>
              <w:left w:val="nil"/>
              <w:bottom w:val="nil"/>
              <w:right w:val="single" w:sz="4" w:space="0" w:color="auto"/>
            </w:tcBorders>
            <w:shd w:val="clear" w:color="auto" w:fill="auto"/>
            <w:noWrap/>
            <w:vAlign w:val="bottom"/>
            <w:hideMark/>
          </w:tcPr>
          <w:p w14:paraId="2ACF3B55"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27,74</w:t>
            </w:r>
          </w:p>
        </w:tc>
        <w:tc>
          <w:tcPr>
            <w:tcW w:w="1540" w:type="dxa"/>
            <w:tcBorders>
              <w:top w:val="nil"/>
              <w:left w:val="nil"/>
              <w:bottom w:val="nil"/>
              <w:right w:val="single" w:sz="4" w:space="0" w:color="auto"/>
            </w:tcBorders>
            <w:shd w:val="clear" w:color="auto" w:fill="auto"/>
            <w:noWrap/>
            <w:vAlign w:val="bottom"/>
            <w:hideMark/>
          </w:tcPr>
          <w:p w14:paraId="6B23FD79"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2,68</w:t>
            </w:r>
          </w:p>
        </w:tc>
        <w:tc>
          <w:tcPr>
            <w:tcW w:w="1660" w:type="dxa"/>
            <w:tcBorders>
              <w:top w:val="nil"/>
              <w:left w:val="nil"/>
              <w:bottom w:val="nil"/>
              <w:right w:val="double" w:sz="6" w:space="0" w:color="auto"/>
            </w:tcBorders>
            <w:shd w:val="clear" w:color="auto" w:fill="auto"/>
            <w:noWrap/>
            <w:vAlign w:val="bottom"/>
            <w:hideMark/>
          </w:tcPr>
          <w:p w14:paraId="5EC003BD"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12,28</w:t>
            </w:r>
          </w:p>
        </w:tc>
      </w:tr>
      <w:tr w:rsidR="00D67D80" w:rsidRPr="00D67D80" w14:paraId="04DF3B17"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7E36A1E3"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2019</w:t>
            </w:r>
          </w:p>
        </w:tc>
        <w:tc>
          <w:tcPr>
            <w:tcW w:w="1420" w:type="dxa"/>
            <w:tcBorders>
              <w:top w:val="nil"/>
              <w:left w:val="nil"/>
              <w:bottom w:val="nil"/>
              <w:right w:val="single" w:sz="4" w:space="0" w:color="auto"/>
            </w:tcBorders>
            <w:shd w:val="clear" w:color="auto" w:fill="auto"/>
            <w:noWrap/>
            <w:vAlign w:val="bottom"/>
            <w:hideMark/>
          </w:tcPr>
          <w:p w14:paraId="10ED7755"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32,46</w:t>
            </w:r>
          </w:p>
        </w:tc>
        <w:tc>
          <w:tcPr>
            <w:tcW w:w="1440" w:type="dxa"/>
            <w:tcBorders>
              <w:top w:val="nil"/>
              <w:left w:val="nil"/>
              <w:bottom w:val="nil"/>
              <w:right w:val="single" w:sz="4" w:space="0" w:color="auto"/>
            </w:tcBorders>
            <w:shd w:val="clear" w:color="auto" w:fill="auto"/>
            <w:noWrap/>
            <w:vAlign w:val="bottom"/>
            <w:hideMark/>
          </w:tcPr>
          <w:p w14:paraId="0107A0B8"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30,60</w:t>
            </w:r>
          </w:p>
        </w:tc>
        <w:tc>
          <w:tcPr>
            <w:tcW w:w="1540" w:type="dxa"/>
            <w:tcBorders>
              <w:top w:val="nil"/>
              <w:left w:val="nil"/>
              <w:bottom w:val="nil"/>
              <w:right w:val="single" w:sz="4" w:space="0" w:color="auto"/>
            </w:tcBorders>
            <w:shd w:val="clear" w:color="auto" w:fill="auto"/>
            <w:noWrap/>
            <w:vAlign w:val="bottom"/>
            <w:hideMark/>
          </w:tcPr>
          <w:p w14:paraId="1CAD6619"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1,42</w:t>
            </w:r>
          </w:p>
        </w:tc>
        <w:tc>
          <w:tcPr>
            <w:tcW w:w="1660" w:type="dxa"/>
            <w:tcBorders>
              <w:top w:val="nil"/>
              <w:left w:val="nil"/>
              <w:bottom w:val="nil"/>
              <w:right w:val="double" w:sz="6" w:space="0" w:color="auto"/>
            </w:tcBorders>
            <w:shd w:val="clear" w:color="auto" w:fill="auto"/>
            <w:noWrap/>
            <w:vAlign w:val="bottom"/>
            <w:hideMark/>
          </w:tcPr>
          <w:p w14:paraId="433289DA"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12,06</w:t>
            </w:r>
          </w:p>
        </w:tc>
      </w:tr>
      <w:tr w:rsidR="00D67D80" w:rsidRPr="00D67D80" w14:paraId="524E192E" w14:textId="77777777" w:rsidTr="00D67D80">
        <w:trPr>
          <w:trHeight w:val="300"/>
        </w:trPr>
        <w:tc>
          <w:tcPr>
            <w:tcW w:w="1480" w:type="dxa"/>
            <w:tcBorders>
              <w:top w:val="nil"/>
              <w:left w:val="double" w:sz="6" w:space="0" w:color="auto"/>
              <w:bottom w:val="double" w:sz="6" w:space="0" w:color="auto"/>
              <w:right w:val="single" w:sz="4" w:space="0" w:color="auto"/>
            </w:tcBorders>
            <w:shd w:val="clear" w:color="000000" w:fill="D9D9D9"/>
            <w:noWrap/>
            <w:vAlign w:val="bottom"/>
            <w:hideMark/>
          </w:tcPr>
          <w:p w14:paraId="02EA96B5"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2020</w:t>
            </w:r>
          </w:p>
        </w:tc>
        <w:tc>
          <w:tcPr>
            <w:tcW w:w="1420" w:type="dxa"/>
            <w:tcBorders>
              <w:top w:val="nil"/>
              <w:left w:val="nil"/>
              <w:bottom w:val="double" w:sz="6" w:space="0" w:color="auto"/>
              <w:right w:val="single" w:sz="4" w:space="0" w:color="auto"/>
            </w:tcBorders>
            <w:shd w:val="clear" w:color="auto" w:fill="auto"/>
            <w:noWrap/>
            <w:vAlign w:val="bottom"/>
            <w:hideMark/>
          </w:tcPr>
          <w:p w14:paraId="7CA45DD0"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36,59</w:t>
            </w:r>
          </w:p>
        </w:tc>
        <w:tc>
          <w:tcPr>
            <w:tcW w:w="1440" w:type="dxa"/>
            <w:tcBorders>
              <w:top w:val="nil"/>
              <w:left w:val="nil"/>
              <w:bottom w:val="double" w:sz="6" w:space="0" w:color="auto"/>
              <w:right w:val="single" w:sz="4" w:space="0" w:color="auto"/>
            </w:tcBorders>
            <w:shd w:val="clear" w:color="auto" w:fill="auto"/>
            <w:noWrap/>
            <w:vAlign w:val="bottom"/>
            <w:hideMark/>
          </w:tcPr>
          <w:p w14:paraId="48B00061"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36,22</w:t>
            </w:r>
          </w:p>
        </w:tc>
        <w:tc>
          <w:tcPr>
            <w:tcW w:w="1540" w:type="dxa"/>
            <w:tcBorders>
              <w:top w:val="nil"/>
              <w:left w:val="nil"/>
              <w:bottom w:val="double" w:sz="6" w:space="0" w:color="auto"/>
              <w:right w:val="single" w:sz="4" w:space="0" w:color="auto"/>
            </w:tcBorders>
            <w:shd w:val="clear" w:color="auto" w:fill="auto"/>
            <w:noWrap/>
            <w:vAlign w:val="bottom"/>
            <w:hideMark/>
          </w:tcPr>
          <w:p w14:paraId="230B77E9" w14:textId="7E81F20A"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0,2</w:t>
            </w:r>
            <w:r w:rsidR="00095FF8" w:rsidRPr="009C0C02">
              <w:rPr>
                <w:rFonts w:ascii="Arial" w:hAnsi="Arial" w:cs="Arial"/>
                <w:b/>
                <w:bCs/>
                <w:color w:val="000000"/>
              </w:rPr>
              <w:t>7</w:t>
            </w:r>
          </w:p>
        </w:tc>
        <w:tc>
          <w:tcPr>
            <w:tcW w:w="1660" w:type="dxa"/>
            <w:tcBorders>
              <w:top w:val="nil"/>
              <w:left w:val="nil"/>
              <w:bottom w:val="double" w:sz="6" w:space="0" w:color="auto"/>
              <w:right w:val="double" w:sz="6" w:space="0" w:color="auto"/>
            </w:tcBorders>
            <w:shd w:val="clear" w:color="auto" w:fill="auto"/>
            <w:noWrap/>
            <w:vAlign w:val="bottom"/>
            <w:hideMark/>
          </w:tcPr>
          <w:p w14:paraId="0A03E3FD"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9,45</w:t>
            </w:r>
          </w:p>
        </w:tc>
      </w:tr>
      <w:tr w:rsidR="00D67D80" w:rsidRPr="00D67D80" w14:paraId="66A27FCC" w14:textId="77777777" w:rsidTr="00D67D80">
        <w:trPr>
          <w:trHeight w:val="312"/>
        </w:trPr>
        <w:tc>
          <w:tcPr>
            <w:tcW w:w="1480" w:type="dxa"/>
            <w:tcBorders>
              <w:top w:val="nil"/>
              <w:left w:val="nil"/>
              <w:bottom w:val="nil"/>
              <w:right w:val="nil"/>
            </w:tcBorders>
            <w:shd w:val="clear" w:color="auto" w:fill="auto"/>
            <w:noWrap/>
            <w:vAlign w:val="bottom"/>
            <w:hideMark/>
          </w:tcPr>
          <w:p w14:paraId="1928E35D" w14:textId="77777777" w:rsidR="00D67D80" w:rsidRPr="00D67D80" w:rsidRDefault="00D67D80" w:rsidP="00D67D80">
            <w:pPr>
              <w:overflowPunct/>
              <w:autoSpaceDE/>
              <w:autoSpaceDN/>
              <w:adjustRightInd/>
              <w:jc w:val="center"/>
              <w:textAlignment w:val="auto"/>
              <w:rPr>
                <w:rFonts w:ascii="Arial" w:hAnsi="Arial" w:cs="Arial"/>
                <w:color w:val="000000"/>
                <w:sz w:val="22"/>
                <w:szCs w:val="22"/>
              </w:rPr>
            </w:pPr>
          </w:p>
        </w:tc>
        <w:tc>
          <w:tcPr>
            <w:tcW w:w="1420" w:type="dxa"/>
            <w:tcBorders>
              <w:top w:val="nil"/>
              <w:left w:val="nil"/>
              <w:bottom w:val="nil"/>
              <w:right w:val="nil"/>
            </w:tcBorders>
            <w:shd w:val="clear" w:color="auto" w:fill="auto"/>
            <w:noWrap/>
            <w:vAlign w:val="bottom"/>
            <w:hideMark/>
          </w:tcPr>
          <w:p w14:paraId="50A71E9B" w14:textId="77777777" w:rsidR="00D67D80" w:rsidRPr="009C0C02" w:rsidRDefault="00D67D80" w:rsidP="00D67D80">
            <w:pPr>
              <w:overflowPunct/>
              <w:autoSpaceDE/>
              <w:autoSpaceDN/>
              <w:adjustRightInd/>
              <w:jc w:val="center"/>
              <w:textAlignment w:val="auto"/>
            </w:pPr>
          </w:p>
        </w:tc>
        <w:tc>
          <w:tcPr>
            <w:tcW w:w="1440" w:type="dxa"/>
            <w:tcBorders>
              <w:top w:val="nil"/>
              <w:left w:val="nil"/>
              <w:bottom w:val="nil"/>
              <w:right w:val="nil"/>
            </w:tcBorders>
            <w:shd w:val="clear" w:color="auto" w:fill="auto"/>
            <w:noWrap/>
            <w:vAlign w:val="bottom"/>
            <w:hideMark/>
          </w:tcPr>
          <w:p w14:paraId="364E0683" w14:textId="77777777" w:rsidR="00D67D80" w:rsidRPr="009C0C02" w:rsidRDefault="00D67D80" w:rsidP="00D67D80">
            <w:pPr>
              <w:overflowPunct/>
              <w:autoSpaceDE/>
              <w:autoSpaceDN/>
              <w:adjustRightInd/>
              <w:jc w:val="center"/>
              <w:textAlignment w:val="auto"/>
            </w:pPr>
          </w:p>
        </w:tc>
        <w:tc>
          <w:tcPr>
            <w:tcW w:w="1540" w:type="dxa"/>
            <w:tcBorders>
              <w:top w:val="nil"/>
              <w:left w:val="nil"/>
              <w:bottom w:val="nil"/>
              <w:right w:val="nil"/>
            </w:tcBorders>
            <w:shd w:val="clear" w:color="auto" w:fill="auto"/>
            <w:noWrap/>
            <w:vAlign w:val="bottom"/>
            <w:hideMark/>
          </w:tcPr>
          <w:p w14:paraId="6A5CA023" w14:textId="77777777" w:rsidR="00D67D80" w:rsidRPr="009C0C02" w:rsidRDefault="00D67D80" w:rsidP="00D67D80">
            <w:pPr>
              <w:overflowPunct/>
              <w:autoSpaceDE/>
              <w:autoSpaceDN/>
              <w:adjustRightInd/>
              <w:textAlignment w:val="auto"/>
            </w:pPr>
          </w:p>
        </w:tc>
        <w:tc>
          <w:tcPr>
            <w:tcW w:w="1660" w:type="dxa"/>
            <w:tcBorders>
              <w:top w:val="nil"/>
              <w:left w:val="nil"/>
              <w:bottom w:val="nil"/>
              <w:right w:val="nil"/>
            </w:tcBorders>
            <w:shd w:val="clear" w:color="auto" w:fill="auto"/>
            <w:noWrap/>
            <w:vAlign w:val="bottom"/>
            <w:hideMark/>
          </w:tcPr>
          <w:p w14:paraId="7E7842AA" w14:textId="77777777" w:rsidR="00D67D80" w:rsidRPr="009C0C02" w:rsidRDefault="00D67D80" w:rsidP="00D67D80">
            <w:pPr>
              <w:overflowPunct/>
              <w:autoSpaceDE/>
              <w:autoSpaceDN/>
              <w:adjustRightInd/>
              <w:textAlignment w:val="auto"/>
            </w:pPr>
          </w:p>
        </w:tc>
      </w:tr>
      <w:tr w:rsidR="00D67D80" w:rsidRPr="00D67D80" w14:paraId="3D00719E" w14:textId="77777777" w:rsidTr="00D67D80">
        <w:trPr>
          <w:trHeight w:val="300"/>
        </w:trPr>
        <w:tc>
          <w:tcPr>
            <w:tcW w:w="7540" w:type="dxa"/>
            <w:gridSpan w:val="5"/>
            <w:tcBorders>
              <w:top w:val="double" w:sz="6" w:space="0" w:color="auto"/>
              <w:left w:val="double" w:sz="6" w:space="0" w:color="auto"/>
              <w:bottom w:val="nil"/>
              <w:right w:val="double" w:sz="6" w:space="0" w:color="000000"/>
            </w:tcBorders>
            <w:shd w:val="clear" w:color="auto" w:fill="auto"/>
            <w:vAlign w:val="bottom"/>
            <w:hideMark/>
          </w:tcPr>
          <w:p w14:paraId="030DA1AF"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Besoldungsgruppe R 2</w:t>
            </w:r>
          </w:p>
        </w:tc>
      </w:tr>
      <w:tr w:rsidR="00D67D80" w:rsidRPr="00D67D80" w14:paraId="6DDB098B" w14:textId="77777777" w:rsidTr="00D67D80">
        <w:trPr>
          <w:trHeight w:val="828"/>
        </w:trPr>
        <w:tc>
          <w:tcPr>
            <w:tcW w:w="14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5139955"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EE480A" w14:textId="07B5B9E8"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Anstieg Tarifverdienste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4E92A2" w14:textId="1ACE1468"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Anstieg der Besoldung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45C1303"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1. Parameter </w:t>
            </w:r>
          </w:p>
        </w:tc>
        <w:tc>
          <w:tcPr>
            <w:tcW w:w="1660" w:type="dxa"/>
            <w:tcBorders>
              <w:top w:val="single" w:sz="4" w:space="0" w:color="auto"/>
              <w:left w:val="nil"/>
              <w:bottom w:val="single" w:sz="4" w:space="0" w:color="auto"/>
              <w:right w:val="double" w:sz="6" w:space="0" w:color="auto"/>
            </w:tcBorders>
            <w:shd w:val="clear" w:color="auto" w:fill="auto"/>
            <w:vAlign w:val="center"/>
            <w:hideMark/>
          </w:tcPr>
          <w:p w14:paraId="0B5242D8" w14:textId="77777777" w:rsidR="00D67D80" w:rsidRPr="009C0C02" w:rsidRDefault="00D67D80" w:rsidP="00D67D80">
            <w:pPr>
              <w:overflowPunct/>
              <w:autoSpaceDE/>
              <w:autoSpaceDN/>
              <w:adjustRightInd/>
              <w:textAlignment w:val="auto"/>
              <w:rPr>
                <w:rFonts w:ascii="Arial" w:hAnsi="Arial" w:cs="Arial"/>
                <w:b/>
                <w:bCs/>
                <w:color w:val="000000"/>
              </w:rPr>
            </w:pPr>
            <w:r w:rsidRPr="009C0C02">
              <w:rPr>
                <w:rFonts w:ascii="Arial" w:hAnsi="Arial" w:cs="Arial"/>
                <w:b/>
                <w:bCs/>
                <w:color w:val="000000"/>
              </w:rPr>
              <w:t>Staffelprüfung</w:t>
            </w:r>
          </w:p>
        </w:tc>
      </w:tr>
      <w:tr w:rsidR="00D67D80" w:rsidRPr="00D67D80" w14:paraId="29635B88" w14:textId="77777777" w:rsidTr="00D67D80">
        <w:trPr>
          <w:trHeight w:val="288"/>
        </w:trPr>
        <w:tc>
          <w:tcPr>
            <w:tcW w:w="754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070A18BA"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 xml:space="preserve"> im 15-jährigen Betrachtungszeitraum (jeweils in %) </w:t>
            </w:r>
          </w:p>
        </w:tc>
      </w:tr>
      <w:tr w:rsidR="00D67D80" w:rsidRPr="00D67D80" w14:paraId="36931E45"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63BB4094"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2016</w:t>
            </w:r>
          </w:p>
        </w:tc>
        <w:tc>
          <w:tcPr>
            <w:tcW w:w="1420" w:type="dxa"/>
            <w:tcBorders>
              <w:top w:val="nil"/>
              <w:left w:val="nil"/>
              <w:bottom w:val="nil"/>
              <w:right w:val="single" w:sz="4" w:space="0" w:color="auto"/>
            </w:tcBorders>
            <w:shd w:val="clear" w:color="auto" w:fill="auto"/>
            <w:noWrap/>
            <w:vAlign w:val="bottom"/>
            <w:hideMark/>
          </w:tcPr>
          <w:p w14:paraId="21A9553E"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28,65</w:t>
            </w:r>
          </w:p>
        </w:tc>
        <w:tc>
          <w:tcPr>
            <w:tcW w:w="1440" w:type="dxa"/>
            <w:tcBorders>
              <w:top w:val="nil"/>
              <w:left w:val="nil"/>
              <w:bottom w:val="nil"/>
              <w:right w:val="single" w:sz="4" w:space="0" w:color="auto"/>
            </w:tcBorders>
            <w:shd w:val="clear" w:color="auto" w:fill="auto"/>
            <w:noWrap/>
            <w:vAlign w:val="bottom"/>
            <w:hideMark/>
          </w:tcPr>
          <w:p w14:paraId="7837FF71"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18,68</w:t>
            </w:r>
          </w:p>
        </w:tc>
        <w:tc>
          <w:tcPr>
            <w:tcW w:w="1540" w:type="dxa"/>
            <w:tcBorders>
              <w:top w:val="nil"/>
              <w:left w:val="nil"/>
              <w:bottom w:val="nil"/>
              <w:right w:val="single" w:sz="4" w:space="0" w:color="auto"/>
            </w:tcBorders>
            <w:shd w:val="clear" w:color="auto" w:fill="auto"/>
            <w:noWrap/>
            <w:vAlign w:val="bottom"/>
            <w:hideMark/>
          </w:tcPr>
          <w:p w14:paraId="174F7CAD"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8,40</w:t>
            </w:r>
          </w:p>
        </w:tc>
        <w:tc>
          <w:tcPr>
            <w:tcW w:w="1660" w:type="dxa"/>
            <w:tcBorders>
              <w:top w:val="nil"/>
              <w:left w:val="nil"/>
              <w:bottom w:val="nil"/>
              <w:right w:val="double" w:sz="6" w:space="0" w:color="auto"/>
            </w:tcBorders>
            <w:shd w:val="clear" w:color="auto" w:fill="auto"/>
            <w:noWrap/>
            <w:vAlign w:val="bottom"/>
            <w:hideMark/>
          </w:tcPr>
          <w:p w14:paraId="5F6EBE9B"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11,75</w:t>
            </w:r>
          </w:p>
        </w:tc>
      </w:tr>
      <w:tr w:rsidR="00D67D80" w:rsidRPr="00D67D80" w14:paraId="54A2BE73"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44FD0E5D"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2017</w:t>
            </w:r>
          </w:p>
        </w:tc>
        <w:tc>
          <w:tcPr>
            <w:tcW w:w="1420" w:type="dxa"/>
            <w:tcBorders>
              <w:top w:val="nil"/>
              <w:left w:val="nil"/>
              <w:bottom w:val="nil"/>
              <w:right w:val="single" w:sz="4" w:space="0" w:color="auto"/>
            </w:tcBorders>
            <w:shd w:val="clear" w:color="auto" w:fill="auto"/>
            <w:noWrap/>
            <w:vAlign w:val="bottom"/>
            <w:hideMark/>
          </w:tcPr>
          <w:p w14:paraId="3B1CE2B2"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31,22</w:t>
            </w:r>
          </w:p>
        </w:tc>
        <w:tc>
          <w:tcPr>
            <w:tcW w:w="1440" w:type="dxa"/>
            <w:tcBorders>
              <w:top w:val="nil"/>
              <w:left w:val="nil"/>
              <w:bottom w:val="nil"/>
              <w:right w:val="single" w:sz="4" w:space="0" w:color="auto"/>
            </w:tcBorders>
            <w:shd w:val="clear" w:color="auto" w:fill="auto"/>
            <w:noWrap/>
            <w:vAlign w:val="bottom"/>
            <w:hideMark/>
          </w:tcPr>
          <w:p w14:paraId="5E31A97E"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19,37</w:t>
            </w:r>
          </w:p>
        </w:tc>
        <w:tc>
          <w:tcPr>
            <w:tcW w:w="1540" w:type="dxa"/>
            <w:tcBorders>
              <w:top w:val="nil"/>
              <w:left w:val="nil"/>
              <w:bottom w:val="nil"/>
              <w:right w:val="single" w:sz="4" w:space="0" w:color="auto"/>
            </w:tcBorders>
            <w:shd w:val="clear" w:color="auto" w:fill="auto"/>
            <w:noWrap/>
            <w:vAlign w:val="bottom"/>
            <w:hideMark/>
          </w:tcPr>
          <w:p w14:paraId="32403704"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9,93</w:t>
            </w:r>
          </w:p>
        </w:tc>
        <w:tc>
          <w:tcPr>
            <w:tcW w:w="1660" w:type="dxa"/>
            <w:tcBorders>
              <w:top w:val="nil"/>
              <w:left w:val="nil"/>
              <w:bottom w:val="nil"/>
              <w:right w:val="double" w:sz="6" w:space="0" w:color="auto"/>
            </w:tcBorders>
            <w:shd w:val="clear" w:color="auto" w:fill="auto"/>
            <w:noWrap/>
            <w:vAlign w:val="bottom"/>
            <w:hideMark/>
          </w:tcPr>
          <w:p w14:paraId="648B7209"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11,64</w:t>
            </w:r>
          </w:p>
        </w:tc>
      </w:tr>
      <w:tr w:rsidR="00D67D80" w:rsidRPr="00D67D80" w14:paraId="306A214C"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0271334C"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2018</w:t>
            </w:r>
          </w:p>
        </w:tc>
        <w:tc>
          <w:tcPr>
            <w:tcW w:w="1420" w:type="dxa"/>
            <w:tcBorders>
              <w:top w:val="nil"/>
              <w:left w:val="nil"/>
              <w:bottom w:val="nil"/>
              <w:right w:val="single" w:sz="4" w:space="0" w:color="auto"/>
            </w:tcBorders>
            <w:shd w:val="clear" w:color="auto" w:fill="auto"/>
            <w:noWrap/>
            <w:vAlign w:val="bottom"/>
            <w:hideMark/>
          </w:tcPr>
          <w:p w14:paraId="4BC9A534"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31,16</w:t>
            </w:r>
          </w:p>
        </w:tc>
        <w:tc>
          <w:tcPr>
            <w:tcW w:w="1440" w:type="dxa"/>
            <w:tcBorders>
              <w:top w:val="nil"/>
              <w:left w:val="nil"/>
              <w:bottom w:val="nil"/>
              <w:right w:val="single" w:sz="4" w:space="0" w:color="auto"/>
            </w:tcBorders>
            <w:shd w:val="clear" w:color="auto" w:fill="auto"/>
            <w:noWrap/>
            <w:vAlign w:val="bottom"/>
            <w:hideMark/>
          </w:tcPr>
          <w:p w14:paraId="11D39762"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27,65</w:t>
            </w:r>
          </w:p>
        </w:tc>
        <w:tc>
          <w:tcPr>
            <w:tcW w:w="1540" w:type="dxa"/>
            <w:tcBorders>
              <w:top w:val="nil"/>
              <w:left w:val="nil"/>
              <w:bottom w:val="nil"/>
              <w:right w:val="single" w:sz="4" w:space="0" w:color="auto"/>
            </w:tcBorders>
            <w:shd w:val="clear" w:color="auto" w:fill="auto"/>
            <w:noWrap/>
            <w:vAlign w:val="bottom"/>
            <w:hideMark/>
          </w:tcPr>
          <w:p w14:paraId="7D634CC3"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2,75</w:t>
            </w:r>
          </w:p>
        </w:tc>
        <w:tc>
          <w:tcPr>
            <w:tcW w:w="1660" w:type="dxa"/>
            <w:tcBorders>
              <w:top w:val="nil"/>
              <w:left w:val="nil"/>
              <w:bottom w:val="nil"/>
              <w:right w:val="double" w:sz="6" w:space="0" w:color="auto"/>
            </w:tcBorders>
            <w:shd w:val="clear" w:color="auto" w:fill="auto"/>
            <w:noWrap/>
            <w:vAlign w:val="bottom"/>
            <w:hideMark/>
          </w:tcPr>
          <w:p w14:paraId="6584BD96"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12,41</w:t>
            </w:r>
          </w:p>
        </w:tc>
      </w:tr>
      <w:tr w:rsidR="00D67D80" w:rsidRPr="00D67D80" w14:paraId="275F6FE4" w14:textId="77777777" w:rsidTr="00D67D80">
        <w:trPr>
          <w:trHeight w:val="288"/>
        </w:trPr>
        <w:tc>
          <w:tcPr>
            <w:tcW w:w="1480" w:type="dxa"/>
            <w:tcBorders>
              <w:top w:val="nil"/>
              <w:left w:val="double" w:sz="6" w:space="0" w:color="auto"/>
              <w:bottom w:val="nil"/>
              <w:right w:val="single" w:sz="4" w:space="0" w:color="auto"/>
            </w:tcBorders>
            <w:shd w:val="clear" w:color="000000" w:fill="D9D9D9"/>
            <w:noWrap/>
            <w:vAlign w:val="bottom"/>
            <w:hideMark/>
          </w:tcPr>
          <w:p w14:paraId="728C3979"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2019</w:t>
            </w:r>
          </w:p>
        </w:tc>
        <w:tc>
          <w:tcPr>
            <w:tcW w:w="1420" w:type="dxa"/>
            <w:tcBorders>
              <w:top w:val="nil"/>
              <w:left w:val="nil"/>
              <w:bottom w:val="nil"/>
              <w:right w:val="single" w:sz="4" w:space="0" w:color="auto"/>
            </w:tcBorders>
            <w:shd w:val="clear" w:color="auto" w:fill="auto"/>
            <w:noWrap/>
            <w:vAlign w:val="bottom"/>
            <w:hideMark/>
          </w:tcPr>
          <w:p w14:paraId="0885C122"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32,46</w:t>
            </w:r>
          </w:p>
        </w:tc>
        <w:tc>
          <w:tcPr>
            <w:tcW w:w="1440" w:type="dxa"/>
            <w:tcBorders>
              <w:top w:val="nil"/>
              <w:left w:val="nil"/>
              <w:bottom w:val="nil"/>
              <w:right w:val="single" w:sz="4" w:space="0" w:color="auto"/>
            </w:tcBorders>
            <w:shd w:val="clear" w:color="auto" w:fill="auto"/>
            <w:noWrap/>
            <w:vAlign w:val="bottom"/>
            <w:hideMark/>
          </w:tcPr>
          <w:p w14:paraId="0E4EF7AB"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30,51</w:t>
            </w:r>
          </w:p>
        </w:tc>
        <w:tc>
          <w:tcPr>
            <w:tcW w:w="1540" w:type="dxa"/>
            <w:tcBorders>
              <w:top w:val="nil"/>
              <w:left w:val="nil"/>
              <w:bottom w:val="nil"/>
              <w:right w:val="single" w:sz="4" w:space="0" w:color="auto"/>
            </w:tcBorders>
            <w:shd w:val="clear" w:color="auto" w:fill="auto"/>
            <w:noWrap/>
            <w:vAlign w:val="bottom"/>
            <w:hideMark/>
          </w:tcPr>
          <w:p w14:paraId="06800516"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1,49</w:t>
            </w:r>
          </w:p>
        </w:tc>
        <w:tc>
          <w:tcPr>
            <w:tcW w:w="1660" w:type="dxa"/>
            <w:tcBorders>
              <w:top w:val="nil"/>
              <w:left w:val="nil"/>
              <w:bottom w:val="nil"/>
              <w:right w:val="double" w:sz="6" w:space="0" w:color="auto"/>
            </w:tcBorders>
            <w:shd w:val="clear" w:color="auto" w:fill="auto"/>
            <w:noWrap/>
            <w:vAlign w:val="bottom"/>
            <w:hideMark/>
          </w:tcPr>
          <w:p w14:paraId="784FC5AD"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12,19</w:t>
            </w:r>
          </w:p>
        </w:tc>
      </w:tr>
      <w:tr w:rsidR="00D67D80" w:rsidRPr="00D67D80" w14:paraId="25CC9023" w14:textId="77777777" w:rsidTr="00D67D80">
        <w:trPr>
          <w:trHeight w:val="300"/>
        </w:trPr>
        <w:tc>
          <w:tcPr>
            <w:tcW w:w="1480" w:type="dxa"/>
            <w:tcBorders>
              <w:top w:val="nil"/>
              <w:left w:val="double" w:sz="6" w:space="0" w:color="auto"/>
              <w:bottom w:val="double" w:sz="6" w:space="0" w:color="auto"/>
              <w:right w:val="single" w:sz="4" w:space="0" w:color="auto"/>
            </w:tcBorders>
            <w:shd w:val="clear" w:color="000000" w:fill="D9D9D9"/>
            <w:noWrap/>
            <w:vAlign w:val="bottom"/>
            <w:hideMark/>
          </w:tcPr>
          <w:p w14:paraId="135442FD" w14:textId="77777777" w:rsidR="00D67D80" w:rsidRPr="00D67D80" w:rsidRDefault="00D67D80" w:rsidP="00D67D80">
            <w:pPr>
              <w:overflowPunct/>
              <w:autoSpaceDE/>
              <w:autoSpaceDN/>
              <w:adjustRightInd/>
              <w:jc w:val="center"/>
              <w:textAlignment w:val="auto"/>
              <w:rPr>
                <w:rFonts w:ascii="Arial" w:hAnsi="Arial" w:cs="Arial"/>
                <w:b/>
                <w:bCs/>
                <w:color w:val="000000"/>
                <w:sz w:val="22"/>
                <w:szCs w:val="22"/>
              </w:rPr>
            </w:pPr>
            <w:r w:rsidRPr="00D67D80">
              <w:rPr>
                <w:rFonts w:ascii="Arial" w:hAnsi="Arial" w:cs="Arial"/>
                <w:b/>
                <w:bCs/>
                <w:color w:val="000000"/>
                <w:sz w:val="22"/>
                <w:szCs w:val="22"/>
              </w:rPr>
              <w:t>2020</w:t>
            </w:r>
          </w:p>
        </w:tc>
        <w:tc>
          <w:tcPr>
            <w:tcW w:w="1420" w:type="dxa"/>
            <w:tcBorders>
              <w:top w:val="nil"/>
              <w:left w:val="nil"/>
              <w:bottom w:val="double" w:sz="6" w:space="0" w:color="auto"/>
              <w:right w:val="single" w:sz="4" w:space="0" w:color="auto"/>
            </w:tcBorders>
            <w:shd w:val="clear" w:color="auto" w:fill="auto"/>
            <w:noWrap/>
            <w:vAlign w:val="bottom"/>
            <w:hideMark/>
          </w:tcPr>
          <w:p w14:paraId="229AB07D"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36,59</w:t>
            </w:r>
          </w:p>
        </w:tc>
        <w:tc>
          <w:tcPr>
            <w:tcW w:w="1440" w:type="dxa"/>
            <w:tcBorders>
              <w:top w:val="nil"/>
              <w:left w:val="nil"/>
              <w:bottom w:val="double" w:sz="6" w:space="0" w:color="auto"/>
              <w:right w:val="single" w:sz="4" w:space="0" w:color="auto"/>
            </w:tcBorders>
            <w:shd w:val="clear" w:color="auto" w:fill="auto"/>
            <w:noWrap/>
            <w:vAlign w:val="bottom"/>
            <w:hideMark/>
          </w:tcPr>
          <w:p w14:paraId="23717751"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36,13</w:t>
            </w:r>
          </w:p>
        </w:tc>
        <w:tc>
          <w:tcPr>
            <w:tcW w:w="1540" w:type="dxa"/>
            <w:tcBorders>
              <w:top w:val="nil"/>
              <w:left w:val="nil"/>
              <w:bottom w:val="double" w:sz="6" w:space="0" w:color="auto"/>
              <w:right w:val="single" w:sz="4" w:space="0" w:color="auto"/>
            </w:tcBorders>
            <w:shd w:val="clear" w:color="auto" w:fill="auto"/>
            <w:noWrap/>
            <w:vAlign w:val="bottom"/>
            <w:hideMark/>
          </w:tcPr>
          <w:p w14:paraId="52FB11FA" w14:textId="77777777" w:rsidR="00D67D80" w:rsidRPr="009C0C02" w:rsidRDefault="00D67D80" w:rsidP="00D67D80">
            <w:pPr>
              <w:overflowPunct/>
              <w:autoSpaceDE/>
              <w:autoSpaceDN/>
              <w:adjustRightInd/>
              <w:jc w:val="center"/>
              <w:textAlignment w:val="auto"/>
              <w:rPr>
                <w:rFonts w:ascii="Arial" w:hAnsi="Arial" w:cs="Arial"/>
                <w:b/>
                <w:bCs/>
                <w:color w:val="000000"/>
              </w:rPr>
            </w:pPr>
            <w:r w:rsidRPr="009C0C02">
              <w:rPr>
                <w:rFonts w:ascii="Arial" w:hAnsi="Arial" w:cs="Arial"/>
                <w:b/>
                <w:bCs/>
                <w:color w:val="000000"/>
              </w:rPr>
              <w:t>0,34</w:t>
            </w:r>
          </w:p>
        </w:tc>
        <w:tc>
          <w:tcPr>
            <w:tcW w:w="1660" w:type="dxa"/>
            <w:tcBorders>
              <w:top w:val="nil"/>
              <w:left w:val="nil"/>
              <w:bottom w:val="double" w:sz="6" w:space="0" w:color="auto"/>
              <w:right w:val="double" w:sz="6" w:space="0" w:color="auto"/>
            </w:tcBorders>
            <w:shd w:val="clear" w:color="auto" w:fill="auto"/>
            <w:noWrap/>
            <w:vAlign w:val="bottom"/>
            <w:hideMark/>
          </w:tcPr>
          <w:p w14:paraId="04ED7C77" w14:textId="77777777" w:rsidR="00D67D80" w:rsidRPr="009C0C02" w:rsidRDefault="00D67D80" w:rsidP="00D67D80">
            <w:pPr>
              <w:overflowPunct/>
              <w:autoSpaceDE/>
              <w:autoSpaceDN/>
              <w:adjustRightInd/>
              <w:jc w:val="center"/>
              <w:textAlignment w:val="auto"/>
              <w:rPr>
                <w:rFonts w:ascii="Arial" w:hAnsi="Arial" w:cs="Arial"/>
                <w:color w:val="000000"/>
              </w:rPr>
            </w:pPr>
            <w:r w:rsidRPr="009C0C02">
              <w:rPr>
                <w:rFonts w:ascii="Arial" w:hAnsi="Arial" w:cs="Arial"/>
                <w:color w:val="000000"/>
              </w:rPr>
              <w:t>9,57</w:t>
            </w:r>
          </w:p>
        </w:tc>
      </w:tr>
    </w:tbl>
    <w:p w14:paraId="2C318D5B" w14:textId="0408B53A" w:rsidR="00D67D80" w:rsidRDefault="00D67D80" w:rsidP="00E45809">
      <w:pPr>
        <w:overflowPunct/>
        <w:spacing w:line="276" w:lineRule="auto"/>
        <w:ind w:left="2124"/>
        <w:textAlignment w:val="auto"/>
        <w:rPr>
          <w:rFonts w:ascii="Arial" w:eastAsia="Calibri" w:hAnsi="Arial" w:cs="Arial"/>
          <w:sz w:val="24"/>
          <w:szCs w:val="24"/>
          <w:lang w:eastAsia="en-US"/>
        </w:rPr>
      </w:pPr>
    </w:p>
    <w:p w14:paraId="4DDBA477" w14:textId="3B353B23" w:rsidR="00AD3D85" w:rsidRDefault="008D5F71" w:rsidP="00E45809">
      <w:pPr>
        <w:overflowPunct/>
        <w:spacing w:line="276" w:lineRule="auto"/>
        <w:jc w:val="both"/>
        <w:textAlignment w:val="auto"/>
        <w:rPr>
          <w:rFonts w:ascii="Arial" w:eastAsia="Calibri" w:hAnsi="Arial" w:cs="Arial"/>
          <w:sz w:val="24"/>
          <w:szCs w:val="24"/>
          <w:lang w:eastAsia="en-US"/>
        </w:rPr>
      </w:pPr>
      <w:r w:rsidRPr="008D5F71">
        <w:rPr>
          <w:rFonts w:ascii="Arial" w:eastAsia="Calibri" w:hAnsi="Arial" w:cs="Arial"/>
          <w:sz w:val="24"/>
          <w:szCs w:val="24"/>
          <w:lang w:eastAsia="en-US"/>
        </w:rPr>
        <w:t xml:space="preserve">c) </w:t>
      </w:r>
      <w:r w:rsidR="0075373F">
        <w:rPr>
          <w:rFonts w:ascii="Arial" w:eastAsia="Calibri" w:hAnsi="Arial" w:cs="Arial"/>
          <w:sz w:val="24"/>
          <w:szCs w:val="24"/>
          <w:lang w:eastAsia="en-US"/>
        </w:rPr>
        <w:t xml:space="preserve">Die </w:t>
      </w:r>
      <w:r w:rsidR="0075373F" w:rsidRPr="008345F7">
        <w:rPr>
          <w:rFonts w:ascii="Arial" w:eastAsia="Calibri" w:hAnsi="Arial" w:cs="Arial"/>
          <w:sz w:val="24"/>
          <w:szCs w:val="24"/>
          <w:lang w:eastAsia="en-US"/>
        </w:rPr>
        <w:t xml:space="preserve">Entwicklung </w:t>
      </w:r>
      <w:r w:rsidR="0075373F">
        <w:rPr>
          <w:rFonts w:ascii="Arial" w:eastAsia="Calibri" w:hAnsi="Arial" w:cs="Arial"/>
          <w:sz w:val="24"/>
          <w:szCs w:val="24"/>
          <w:lang w:eastAsia="en-US"/>
        </w:rPr>
        <w:t>des Nominallohnindex überstieg die Entwicklung der R-Besoldung in den Jahren 2016 bis 2019, im Jahr 2017 sogar übermäßig in Höhe von mehr als 5 Prozent (</w:t>
      </w:r>
      <w:r w:rsidR="0075373F">
        <w:rPr>
          <w:rFonts w:ascii="Arial" w:eastAsia="Calibri" w:hAnsi="Arial" w:cs="Arial"/>
          <w:b/>
          <w:sz w:val="24"/>
          <w:szCs w:val="24"/>
          <w:lang w:eastAsia="en-US"/>
        </w:rPr>
        <w:t>zweiter</w:t>
      </w:r>
      <w:r w:rsidR="0075373F" w:rsidRPr="00B2354F">
        <w:rPr>
          <w:rFonts w:ascii="Arial" w:eastAsia="Calibri" w:hAnsi="Arial" w:cs="Arial"/>
          <w:b/>
          <w:sz w:val="24"/>
          <w:szCs w:val="24"/>
          <w:lang w:eastAsia="en-US"/>
        </w:rPr>
        <w:t xml:space="preserve"> Parameter</w:t>
      </w:r>
      <w:r w:rsidR="0075373F">
        <w:rPr>
          <w:rFonts w:ascii="Arial" w:eastAsia="Calibri" w:hAnsi="Arial" w:cs="Arial"/>
          <w:b/>
          <w:sz w:val="24"/>
          <w:szCs w:val="24"/>
          <w:lang w:eastAsia="en-US"/>
        </w:rPr>
        <w:t xml:space="preserve"> </w:t>
      </w:r>
      <w:r w:rsidR="0075373F" w:rsidRPr="001A6DF4">
        <w:rPr>
          <w:rFonts w:ascii="Arial" w:eastAsia="Calibri" w:hAnsi="Arial" w:cs="Arial"/>
          <w:sz w:val="24"/>
          <w:szCs w:val="24"/>
          <w:lang w:eastAsia="en-US"/>
        </w:rPr>
        <w:t xml:space="preserve">als </w:t>
      </w:r>
      <w:r w:rsidR="00347750">
        <w:rPr>
          <w:rFonts w:ascii="Arial" w:eastAsia="Calibri" w:hAnsi="Arial" w:cs="Arial"/>
          <w:sz w:val="24"/>
          <w:szCs w:val="24"/>
          <w:lang w:eastAsia="en-US"/>
        </w:rPr>
        <w:t xml:space="preserve">vereinfachter </w:t>
      </w:r>
      <w:r w:rsidR="00AD3D85" w:rsidRPr="00A55247">
        <w:rPr>
          <w:rFonts w:ascii="Arial" w:eastAsia="Calibri" w:hAnsi="Arial" w:cs="Arial"/>
          <w:sz w:val="24"/>
          <w:szCs w:val="24"/>
          <w:lang w:eastAsia="en-US"/>
        </w:rPr>
        <w:t>Vergleich</w:t>
      </w:r>
      <w:r w:rsidR="0075373F">
        <w:rPr>
          <w:rFonts w:ascii="Arial" w:eastAsia="Calibri" w:hAnsi="Arial" w:cs="Arial"/>
          <w:sz w:val="24"/>
          <w:szCs w:val="24"/>
          <w:lang w:eastAsia="en-US"/>
        </w:rPr>
        <w:t>,</w:t>
      </w:r>
      <w:r w:rsidR="00AD3D85" w:rsidRPr="00A55247">
        <w:rPr>
          <w:rFonts w:ascii="Arial" w:eastAsia="Calibri" w:hAnsi="Arial" w:cs="Arial"/>
          <w:sz w:val="24"/>
          <w:szCs w:val="24"/>
          <w:lang w:eastAsia="en-US"/>
        </w:rPr>
        <w:t xml:space="preserve"> </w:t>
      </w:r>
      <w:r w:rsidR="00347750" w:rsidRPr="00A55247">
        <w:rPr>
          <w:rFonts w:ascii="Arial" w:eastAsia="Calibri" w:hAnsi="Arial" w:cs="Arial"/>
          <w:sz w:val="24"/>
          <w:szCs w:val="24"/>
          <w:lang w:eastAsia="en-US"/>
        </w:rPr>
        <w:t>zur Spitzberechnung s</w:t>
      </w:r>
      <w:r w:rsidR="000C4293" w:rsidRPr="00A55247">
        <w:rPr>
          <w:rFonts w:ascii="Arial" w:eastAsia="Calibri" w:hAnsi="Arial" w:cs="Arial"/>
          <w:sz w:val="24"/>
          <w:szCs w:val="24"/>
          <w:lang w:eastAsia="en-US"/>
        </w:rPr>
        <w:t xml:space="preserve">iehe </w:t>
      </w:r>
      <w:r w:rsidR="00562C5E" w:rsidRPr="00A55247">
        <w:rPr>
          <w:rFonts w:ascii="Arial" w:eastAsia="Calibri" w:hAnsi="Arial" w:cs="Arial"/>
          <w:sz w:val="24"/>
          <w:szCs w:val="24"/>
          <w:lang w:eastAsia="en-US"/>
        </w:rPr>
        <w:t>Gliederungspunkt</w:t>
      </w:r>
      <w:r w:rsidR="000265ED" w:rsidRPr="00A55247">
        <w:rPr>
          <w:rFonts w:ascii="Arial" w:eastAsia="Calibri" w:hAnsi="Arial" w:cs="Arial"/>
          <w:sz w:val="24"/>
          <w:szCs w:val="24"/>
          <w:lang w:eastAsia="en-US"/>
        </w:rPr>
        <w:t xml:space="preserve"> </w:t>
      </w:r>
      <w:r w:rsidR="00AF1DC4" w:rsidRPr="00A55247">
        <w:rPr>
          <w:rFonts w:ascii="Arial" w:eastAsia="Calibri" w:hAnsi="Arial" w:cs="Arial"/>
          <w:sz w:val="24"/>
          <w:szCs w:val="24"/>
          <w:lang w:eastAsia="en-US"/>
        </w:rPr>
        <w:t xml:space="preserve">B II. 2. </w:t>
      </w:r>
      <w:r w:rsidR="009E2CE0" w:rsidRPr="00A55247">
        <w:rPr>
          <w:rFonts w:ascii="Arial" w:eastAsia="Calibri" w:hAnsi="Arial" w:cs="Arial"/>
          <w:sz w:val="24"/>
          <w:szCs w:val="24"/>
          <w:lang w:eastAsia="en-US"/>
        </w:rPr>
        <w:t>a</w:t>
      </w:r>
      <w:r w:rsidR="00347750" w:rsidRPr="00A55247">
        <w:rPr>
          <w:rFonts w:ascii="Arial" w:eastAsia="Calibri" w:hAnsi="Arial" w:cs="Arial"/>
          <w:sz w:val="24"/>
          <w:szCs w:val="24"/>
          <w:lang w:eastAsia="en-US"/>
        </w:rPr>
        <w:t>)</w:t>
      </w:r>
      <w:r w:rsidR="00AD3D85" w:rsidRPr="008D5F71">
        <w:rPr>
          <w:rFonts w:ascii="Arial" w:eastAsia="Calibri" w:hAnsi="Arial" w:cs="Arial"/>
          <w:sz w:val="24"/>
          <w:szCs w:val="24"/>
          <w:lang w:eastAsia="en-US"/>
        </w:rPr>
        <w:t>.</w:t>
      </w:r>
      <w:r w:rsidR="00347750">
        <w:rPr>
          <w:rFonts w:ascii="Arial" w:eastAsia="Calibri" w:hAnsi="Arial" w:cs="Arial"/>
          <w:sz w:val="24"/>
          <w:szCs w:val="24"/>
          <w:lang w:eastAsia="en-US"/>
        </w:rPr>
        <w:t xml:space="preserve"> </w:t>
      </w:r>
    </w:p>
    <w:p w14:paraId="0B8290FF" w14:textId="77777777" w:rsidR="00AD3D85" w:rsidRDefault="00AD3D85" w:rsidP="00E45809">
      <w:pPr>
        <w:overflowPunct/>
        <w:spacing w:line="276" w:lineRule="auto"/>
        <w:jc w:val="both"/>
        <w:textAlignment w:val="auto"/>
        <w:rPr>
          <w:rFonts w:ascii="Arial" w:eastAsia="Calibri" w:hAnsi="Arial" w:cs="Arial"/>
          <w:sz w:val="24"/>
          <w:szCs w:val="24"/>
          <w:lang w:eastAsia="en-US"/>
        </w:rPr>
      </w:pPr>
    </w:p>
    <w:p w14:paraId="4A547985" w14:textId="7B9896AE" w:rsidR="008D5F71" w:rsidRDefault="00AD3D85" w:rsidP="00E45809">
      <w:pPr>
        <w:overflowPunct/>
        <w:spacing w:line="276" w:lineRule="auto"/>
        <w:jc w:val="both"/>
        <w:textAlignment w:val="auto"/>
        <w:rPr>
          <w:rFonts w:ascii="Arial" w:eastAsia="Calibri" w:hAnsi="Arial" w:cs="Arial"/>
          <w:sz w:val="24"/>
          <w:szCs w:val="24"/>
          <w:lang w:eastAsia="en-US"/>
        </w:rPr>
      </w:pPr>
      <w:bookmarkStart w:id="20" w:name="_Hlk89081430"/>
      <w:bookmarkStart w:id="21" w:name="_Hlk89080991"/>
      <w:r>
        <w:rPr>
          <w:rFonts w:ascii="Arial" w:eastAsia="Calibri" w:hAnsi="Arial" w:cs="Arial"/>
          <w:sz w:val="24"/>
          <w:szCs w:val="24"/>
          <w:lang w:eastAsia="en-US"/>
        </w:rPr>
        <w:t>Der vom</w:t>
      </w:r>
      <w:r w:rsidR="008D5F71" w:rsidRPr="00865890">
        <w:rPr>
          <w:rFonts w:ascii="Arial" w:eastAsia="Calibri" w:hAnsi="Arial" w:cs="Arial"/>
          <w:sz w:val="24"/>
          <w:szCs w:val="24"/>
          <w:lang w:eastAsia="en-US"/>
        </w:rPr>
        <w:t xml:space="preserve"> Statistischen Bundesamt </w:t>
      </w:r>
      <w:r w:rsidR="009646C2" w:rsidRPr="00865890">
        <w:rPr>
          <w:rFonts w:ascii="Arial" w:eastAsia="Calibri" w:hAnsi="Arial" w:cs="Arial"/>
          <w:sz w:val="24"/>
          <w:szCs w:val="24"/>
          <w:lang w:eastAsia="en-US"/>
        </w:rPr>
        <w:t xml:space="preserve">veröffentlichte </w:t>
      </w:r>
      <w:r w:rsidR="008D5F71" w:rsidRPr="00865890">
        <w:rPr>
          <w:rFonts w:ascii="Arial" w:eastAsia="Calibri" w:hAnsi="Arial" w:cs="Arial"/>
          <w:sz w:val="24"/>
          <w:szCs w:val="24"/>
          <w:lang w:eastAsia="en-US"/>
        </w:rPr>
        <w:t xml:space="preserve">Nominallohnindex </w:t>
      </w:r>
      <w:r w:rsidR="009646C2" w:rsidRPr="00865890">
        <w:rPr>
          <w:rFonts w:ascii="Arial" w:eastAsia="Calibri" w:hAnsi="Arial" w:cs="Arial"/>
          <w:sz w:val="24"/>
          <w:szCs w:val="24"/>
          <w:lang w:eastAsia="en-US"/>
        </w:rPr>
        <w:t>(</w:t>
      </w:r>
      <w:r w:rsidR="00865890" w:rsidRPr="00865890">
        <w:rPr>
          <w:rFonts w:ascii="Arial" w:eastAsia="Calibri" w:hAnsi="Arial" w:cs="Arial"/>
          <w:sz w:val="24"/>
          <w:szCs w:val="24"/>
          <w:lang w:eastAsia="en-US"/>
        </w:rPr>
        <w:t xml:space="preserve">Verdienste und </w:t>
      </w:r>
      <w:r w:rsidR="00865890" w:rsidRPr="008345F7">
        <w:rPr>
          <w:rFonts w:ascii="Arial" w:eastAsia="Calibri" w:hAnsi="Arial" w:cs="Arial"/>
          <w:sz w:val="24"/>
          <w:szCs w:val="24"/>
          <w:lang w:eastAsia="en-US"/>
        </w:rPr>
        <w:t xml:space="preserve">Arbeitskosten, Auflage 2021, dort Seite </w:t>
      </w:r>
      <w:r w:rsidR="00865890">
        <w:rPr>
          <w:rFonts w:ascii="Arial" w:eastAsia="Calibri" w:hAnsi="Arial" w:cs="Arial"/>
          <w:sz w:val="24"/>
          <w:szCs w:val="24"/>
          <w:lang w:eastAsia="en-US"/>
        </w:rPr>
        <w:t>57</w:t>
      </w:r>
      <w:r>
        <w:rPr>
          <w:rFonts w:ascii="Arial" w:eastAsia="Calibri" w:hAnsi="Arial" w:cs="Arial"/>
          <w:sz w:val="24"/>
          <w:szCs w:val="24"/>
          <w:lang w:eastAsia="en-US"/>
        </w:rPr>
        <w:t>) wurde von diesem</w:t>
      </w:r>
      <w:r w:rsidR="006D6D7B">
        <w:rPr>
          <w:rFonts w:ascii="Arial" w:eastAsia="Calibri" w:hAnsi="Arial" w:cs="Arial"/>
          <w:sz w:val="24"/>
          <w:szCs w:val="24"/>
          <w:lang w:eastAsia="en-US"/>
        </w:rPr>
        <w:t xml:space="preserve"> nach der Entscheidung des B</w:t>
      </w:r>
      <w:r w:rsidR="0081062D">
        <w:rPr>
          <w:rFonts w:ascii="Arial" w:eastAsia="Calibri" w:hAnsi="Arial" w:cs="Arial"/>
          <w:sz w:val="24"/>
          <w:szCs w:val="24"/>
          <w:lang w:eastAsia="en-US"/>
        </w:rPr>
        <w:t>undesverfassungsgerichts</w:t>
      </w:r>
      <w:r w:rsidR="006D6D7B">
        <w:rPr>
          <w:rFonts w:ascii="Arial" w:eastAsia="Calibri" w:hAnsi="Arial" w:cs="Arial"/>
          <w:sz w:val="24"/>
          <w:szCs w:val="24"/>
          <w:lang w:eastAsia="en-US"/>
        </w:rPr>
        <w:t xml:space="preserve"> vom 4. Mai 2020</w:t>
      </w:r>
      <w:r>
        <w:rPr>
          <w:rFonts w:ascii="Arial" w:eastAsia="Calibri" w:hAnsi="Arial" w:cs="Arial"/>
          <w:sz w:val="24"/>
          <w:szCs w:val="24"/>
          <w:lang w:eastAsia="en-US"/>
        </w:rPr>
        <w:t xml:space="preserve"> </w:t>
      </w:r>
      <w:r w:rsidR="00EA47D0">
        <w:rPr>
          <w:rFonts w:ascii="Arial" w:eastAsia="Calibri" w:hAnsi="Arial" w:cs="Arial"/>
          <w:sz w:val="24"/>
          <w:szCs w:val="24"/>
          <w:lang w:eastAsia="en-US"/>
        </w:rPr>
        <w:t xml:space="preserve">(2 BvL 4/18) </w:t>
      </w:r>
      <w:r>
        <w:rPr>
          <w:rFonts w:ascii="Arial" w:eastAsia="Calibri" w:hAnsi="Arial" w:cs="Arial"/>
          <w:sz w:val="24"/>
          <w:szCs w:val="24"/>
          <w:lang w:eastAsia="en-US"/>
        </w:rPr>
        <w:t xml:space="preserve">korrigiert, die geringfügigen </w:t>
      </w:r>
      <w:r w:rsidRPr="00865890">
        <w:rPr>
          <w:rFonts w:ascii="Arial" w:eastAsia="Calibri" w:hAnsi="Arial" w:cs="Arial"/>
          <w:sz w:val="24"/>
          <w:szCs w:val="24"/>
          <w:lang w:eastAsia="en-US"/>
        </w:rPr>
        <w:t>Veränderungen der Werte für die Jahre 2007 bis 2016 sind auf methodische Verbesserungen zurückzuführen</w:t>
      </w:r>
      <w:r>
        <w:rPr>
          <w:rFonts w:ascii="Arial" w:eastAsia="Calibri" w:hAnsi="Arial" w:cs="Arial"/>
          <w:sz w:val="24"/>
          <w:szCs w:val="24"/>
          <w:lang w:eastAsia="en-US"/>
        </w:rPr>
        <w:t xml:space="preserve"> (</w:t>
      </w:r>
      <w:r w:rsidR="006D6D7B">
        <w:rPr>
          <w:rFonts w:ascii="Arial" w:eastAsia="Calibri" w:hAnsi="Arial" w:cs="Arial"/>
          <w:sz w:val="24"/>
          <w:szCs w:val="24"/>
          <w:lang w:eastAsia="en-US"/>
        </w:rPr>
        <w:t>vgl.</w:t>
      </w:r>
      <w:r>
        <w:rPr>
          <w:rFonts w:ascii="Arial" w:eastAsia="Calibri" w:hAnsi="Arial" w:cs="Arial"/>
          <w:sz w:val="24"/>
          <w:szCs w:val="24"/>
          <w:lang w:eastAsia="en-US"/>
        </w:rPr>
        <w:t xml:space="preserve"> Fußnote auf Seite 57). </w:t>
      </w:r>
      <w:bookmarkEnd w:id="20"/>
      <w:r>
        <w:rPr>
          <w:rFonts w:ascii="Arial" w:eastAsia="Calibri" w:hAnsi="Arial" w:cs="Arial"/>
          <w:sz w:val="24"/>
          <w:szCs w:val="24"/>
          <w:lang w:eastAsia="en-US"/>
        </w:rPr>
        <w:t xml:space="preserve">Der Vergleich </w:t>
      </w:r>
      <w:r w:rsidR="008D5F71" w:rsidRPr="008D5F71">
        <w:rPr>
          <w:rFonts w:ascii="Arial" w:eastAsia="Calibri" w:hAnsi="Arial" w:cs="Arial"/>
          <w:sz w:val="24"/>
          <w:szCs w:val="24"/>
          <w:lang w:eastAsia="en-US"/>
        </w:rPr>
        <w:t>mit der Besoldungsentwicklung</w:t>
      </w:r>
      <w:bookmarkEnd w:id="21"/>
      <w:r w:rsidR="008D5F71" w:rsidRPr="008D5F71">
        <w:rPr>
          <w:rFonts w:ascii="Arial" w:eastAsia="Calibri" w:hAnsi="Arial" w:cs="Arial"/>
          <w:sz w:val="24"/>
          <w:szCs w:val="24"/>
          <w:lang w:eastAsia="en-US"/>
        </w:rPr>
        <w:t xml:space="preserve"> ergibt, dass </w:t>
      </w:r>
      <w:r>
        <w:rPr>
          <w:rFonts w:ascii="Arial" w:eastAsia="Calibri" w:hAnsi="Arial" w:cs="Arial"/>
          <w:sz w:val="24"/>
          <w:szCs w:val="24"/>
          <w:lang w:eastAsia="en-US"/>
        </w:rPr>
        <w:t xml:space="preserve">sich </w:t>
      </w:r>
      <w:r w:rsidR="006D6D7B">
        <w:rPr>
          <w:rFonts w:ascii="Arial" w:eastAsia="Calibri" w:hAnsi="Arial" w:cs="Arial"/>
          <w:sz w:val="24"/>
          <w:szCs w:val="24"/>
          <w:lang w:eastAsia="en-US"/>
        </w:rPr>
        <w:t xml:space="preserve">auch </w:t>
      </w:r>
      <w:r>
        <w:rPr>
          <w:rFonts w:ascii="Arial" w:eastAsia="Calibri" w:hAnsi="Arial" w:cs="Arial"/>
          <w:sz w:val="24"/>
          <w:szCs w:val="24"/>
          <w:lang w:eastAsia="en-US"/>
        </w:rPr>
        <w:t>der Nominallohn in den Jahren 2016 bis 2019 besser entwickelte als die Besoldung</w:t>
      </w:r>
      <w:r w:rsidR="00C0675D">
        <w:rPr>
          <w:rFonts w:ascii="Arial" w:eastAsia="Calibri" w:hAnsi="Arial" w:cs="Arial"/>
          <w:sz w:val="24"/>
          <w:szCs w:val="24"/>
          <w:lang w:eastAsia="en-US"/>
        </w:rPr>
        <w:t>.</w:t>
      </w:r>
      <w:r>
        <w:rPr>
          <w:rFonts w:ascii="Arial" w:eastAsia="Calibri" w:hAnsi="Arial" w:cs="Arial"/>
          <w:sz w:val="24"/>
          <w:szCs w:val="24"/>
          <w:lang w:eastAsia="en-US"/>
        </w:rPr>
        <w:t xml:space="preserve"> </w:t>
      </w:r>
      <w:r w:rsidR="00C0675D">
        <w:rPr>
          <w:rFonts w:ascii="Arial" w:eastAsia="Calibri" w:hAnsi="Arial" w:cs="Arial"/>
          <w:sz w:val="24"/>
          <w:szCs w:val="24"/>
          <w:lang w:eastAsia="en-US"/>
        </w:rPr>
        <w:t>D</w:t>
      </w:r>
      <w:r w:rsidR="00C0675D" w:rsidRPr="008D5F71">
        <w:rPr>
          <w:rFonts w:ascii="Arial" w:eastAsia="Calibri" w:hAnsi="Arial" w:cs="Arial"/>
          <w:sz w:val="24"/>
          <w:szCs w:val="24"/>
          <w:lang w:eastAsia="en-US"/>
        </w:rPr>
        <w:t xml:space="preserve">er </w:t>
      </w:r>
      <w:r w:rsidR="008D5F71" w:rsidRPr="008D5F71">
        <w:rPr>
          <w:rFonts w:ascii="Arial" w:eastAsia="Calibri" w:hAnsi="Arial" w:cs="Arial"/>
          <w:sz w:val="24"/>
          <w:szCs w:val="24"/>
          <w:lang w:eastAsia="en-US"/>
        </w:rPr>
        <w:t xml:space="preserve">Schwellenwert von 5 % </w:t>
      </w:r>
      <w:r>
        <w:rPr>
          <w:rFonts w:ascii="Arial" w:eastAsia="Calibri" w:hAnsi="Arial" w:cs="Arial"/>
          <w:sz w:val="24"/>
          <w:szCs w:val="24"/>
          <w:lang w:eastAsia="en-US"/>
        </w:rPr>
        <w:t xml:space="preserve">wurde </w:t>
      </w:r>
      <w:r w:rsidR="004B6AC8">
        <w:rPr>
          <w:rFonts w:ascii="Arial" w:eastAsia="Calibri" w:hAnsi="Arial" w:cs="Arial"/>
          <w:sz w:val="24"/>
          <w:szCs w:val="24"/>
          <w:lang w:eastAsia="en-US"/>
        </w:rPr>
        <w:t>im Jahr 2017 überschritten</w:t>
      </w:r>
      <w:r w:rsidR="008D5F71" w:rsidRPr="008D5F71">
        <w:rPr>
          <w:rFonts w:ascii="Arial" w:eastAsia="Calibri" w:hAnsi="Arial" w:cs="Arial"/>
          <w:sz w:val="24"/>
          <w:szCs w:val="24"/>
          <w:lang w:eastAsia="en-US"/>
        </w:rPr>
        <w:t>.</w:t>
      </w:r>
    </w:p>
    <w:p w14:paraId="16DC9FBA" w14:textId="77777777" w:rsidR="00072A87" w:rsidRDefault="00072A87" w:rsidP="00E45809">
      <w:pPr>
        <w:overflowPunct/>
        <w:spacing w:line="276" w:lineRule="auto"/>
        <w:jc w:val="both"/>
        <w:textAlignment w:val="auto"/>
        <w:rPr>
          <w:rFonts w:ascii="Arial" w:eastAsia="Calibri" w:hAnsi="Arial" w:cs="Arial"/>
          <w:sz w:val="24"/>
          <w:szCs w:val="24"/>
          <w:lang w:eastAsia="en-US"/>
        </w:rPr>
      </w:pPr>
    </w:p>
    <w:p w14:paraId="65EFE2B3" w14:textId="77777777" w:rsidR="005F20F6" w:rsidRDefault="005F20F6" w:rsidP="005F20F6">
      <w:pPr>
        <w:overflowPunct/>
        <w:spacing w:line="480" w:lineRule="exact"/>
        <w:ind w:left="708"/>
        <w:textAlignment w:val="auto"/>
        <w:rPr>
          <w:rFonts w:ascii="Arial" w:eastAsia="Calibri" w:hAnsi="Arial" w:cs="Arial"/>
          <w:sz w:val="24"/>
          <w:szCs w:val="24"/>
          <w:lang w:eastAsia="en-US"/>
        </w:rPr>
      </w:pPr>
    </w:p>
    <w:tbl>
      <w:tblPr>
        <w:tblW w:w="7650" w:type="dxa"/>
        <w:tblInd w:w="801" w:type="dxa"/>
        <w:tblCellMar>
          <w:left w:w="70" w:type="dxa"/>
          <w:right w:w="70" w:type="dxa"/>
        </w:tblCellMar>
        <w:tblLook w:val="04A0" w:firstRow="1" w:lastRow="0" w:firstColumn="1" w:lastColumn="0" w:noHBand="0" w:noVBand="1"/>
      </w:tblPr>
      <w:tblGrid>
        <w:gridCol w:w="1478"/>
        <w:gridCol w:w="1546"/>
        <w:gridCol w:w="1435"/>
        <w:gridCol w:w="1533"/>
        <w:gridCol w:w="1658"/>
      </w:tblGrid>
      <w:tr w:rsidR="005F20F6" w:rsidRPr="005F20F6" w14:paraId="0D8D93B7" w14:textId="77777777" w:rsidTr="005F20F6">
        <w:trPr>
          <w:trHeight w:val="300"/>
        </w:trPr>
        <w:tc>
          <w:tcPr>
            <w:tcW w:w="7650" w:type="dxa"/>
            <w:gridSpan w:val="5"/>
            <w:tcBorders>
              <w:top w:val="double" w:sz="6" w:space="0" w:color="auto"/>
              <w:left w:val="double" w:sz="6" w:space="0" w:color="auto"/>
              <w:bottom w:val="nil"/>
              <w:right w:val="double" w:sz="6" w:space="0" w:color="000000"/>
            </w:tcBorders>
            <w:shd w:val="clear" w:color="auto" w:fill="auto"/>
            <w:vAlign w:val="bottom"/>
            <w:hideMark/>
          </w:tcPr>
          <w:p w14:paraId="1AC4DE37"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Besoldungsgruppe R 1</w:t>
            </w:r>
          </w:p>
        </w:tc>
      </w:tr>
      <w:tr w:rsidR="005F20F6" w:rsidRPr="005F20F6" w14:paraId="6B715AF2" w14:textId="77777777" w:rsidTr="005F20F6">
        <w:trPr>
          <w:trHeight w:val="828"/>
        </w:trPr>
        <w:tc>
          <w:tcPr>
            <w:tcW w:w="147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B687BA5" w14:textId="39DF0BB9" w:rsidR="005F20F6" w:rsidRPr="00F745AE" w:rsidRDefault="005F20F6" w:rsidP="005F20F6">
            <w:pPr>
              <w:overflowPunct/>
              <w:autoSpaceDE/>
              <w:autoSpaceDN/>
              <w:adjustRightInd/>
              <w:jc w:val="center"/>
              <w:textAlignment w:val="auto"/>
              <w:rPr>
                <w:rFonts w:ascii="Arial" w:hAnsi="Arial" w:cs="Arial"/>
                <w:b/>
                <w:bCs/>
                <w:color w:val="000000"/>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425C2A34" w14:textId="7395C441" w:rsidR="005F20F6" w:rsidRPr="00F745AE" w:rsidRDefault="00CF67C5"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w:t>
            </w:r>
            <w:r w:rsidR="005F20F6" w:rsidRPr="00F745AE">
              <w:rPr>
                <w:rFonts w:ascii="Arial" w:hAnsi="Arial" w:cs="Arial"/>
                <w:b/>
                <w:bCs/>
                <w:color w:val="000000"/>
              </w:rPr>
              <w:t>Anstieg Nominallohn</w:t>
            </w:r>
            <w:r w:rsidR="00392EA4">
              <w:rPr>
                <w:rFonts w:ascii="Arial" w:hAnsi="Arial" w:cs="Arial"/>
                <w:b/>
                <w:bCs/>
                <w:color w:val="000000"/>
              </w:rPr>
              <w:t>index</w:t>
            </w:r>
            <w:r w:rsidR="005F20F6" w:rsidRPr="00F745AE">
              <w:rPr>
                <w:rFonts w:ascii="Arial" w:hAnsi="Arial" w:cs="Arial"/>
                <w:b/>
                <w:bCs/>
                <w:color w:val="000000"/>
              </w:rPr>
              <w:t xml:space="preserve">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64CBEEBF" w14:textId="1DC0760C"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Anstieg der Besoldung </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7E92F7C4"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2. Parameter </w:t>
            </w:r>
          </w:p>
        </w:tc>
        <w:tc>
          <w:tcPr>
            <w:tcW w:w="1658" w:type="dxa"/>
            <w:tcBorders>
              <w:top w:val="single" w:sz="4" w:space="0" w:color="auto"/>
              <w:left w:val="nil"/>
              <w:bottom w:val="single" w:sz="4" w:space="0" w:color="auto"/>
              <w:right w:val="double" w:sz="6" w:space="0" w:color="auto"/>
            </w:tcBorders>
            <w:shd w:val="clear" w:color="auto" w:fill="auto"/>
            <w:vAlign w:val="center"/>
            <w:hideMark/>
          </w:tcPr>
          <w:p w14:paraId="673806FF" w14:textId="77777777" w:rsidR="005F20F6" w:rsidRPr="00F745AE" w:rsidRDefault="005F20F6" w:rsidP="005F20F6">
            <w:pPr>
              <w:overflowPunct/>
              <w:autoSpaceDE/>
              <w:autoSpaceDN/>
              <w:adjustRightInd/>
              <w:textAlignment w:val="auto"/>
              <w:rPr>
                <w:rFonts w:ascii="Arial" w:hAnsi="Arial" w:cs="Arial"/>
                <w:b/>
                <w:bCs/>
                <w:color w:val="000000"/>
              </w:rPr>
            </w:pPr>
            <w:r w:rsidRPr="00F745AE">
              <w:rPr>
                <w:rFonts w:ascii="Arial" w:hAnsi="Arial" w:cs="Arial"/>
                <w:b/>
                <w:bCs/>
                <w:color w:val="000000"/>
              </w:rPr>
              <w:t>Staffelprüfung</w:t>
            </w:r>
          </w:p>
        </w:tc>
      </w:tr>
      <w:tr w:rsidR="005F20F6" w:rsidRPr="005F20F6" w14:paraId="7C69DB43" w14:textId="77777777" w:rsidTr="005F20F6">
        <w:trPr>
          <w:trHeight w:val="288"/>
        </w:trPr>
        <w:tc>
          <w:tcPr>
            <w:tcW w:w="765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76BAEED8"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im 15-jährigen Betrachtungszeitraum (jeweils in %) </w:t>
            </w:r>
          </w:p>
        </w:tc>
      </w:tr>
      <w:tr w:rsidR="005F20F6" w:rsidRPr="005F20F6" w14:paraId="7A79B4E8"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040D90DB"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2016</w:t>
            </w:r>
          </w:p>
        </w:tc>
        <w:tc>
          <w:tcPr>
            <w:tcW w:w="1546" w:type="dxa"/>
            <w:tcBorders>
              <w:top w:val="nil"/>
              <w:left w:val="nil"/>
              <w:bottom w:val="nil"/>
              <w:right w:val="single" w:sz="4" w:space="0" w:color="auto"/>
            </w:tcBorders>
            <w:shd w:val="clear" w:color="auto" w:fill="auto"/>
            <w:noWrap/>
            <w:vAlign w:val="bottom"/>
            <w:hideMark/>
          </w:tcPr>
          <w:p w14:paraId="177ACA3F"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23,28</w:t>
            </w:r>
          </w:p>
        </w:tc>
        <w:tc>
          <w:tcPr>
            <w:tcW w:w="1435" w:type="dxa"/>
            <w:tcBorders>
              <w:top w:val="nil"/>
              <w:left w:val="nil"/>
              <w:bottom w:val="nil"/>
              <w:right w:val="single" w:sz="4" w:space="0" w:color="auto"/>
            </w:tcBorders>
            <w:shd w:val="clear" w:color="auto" w:fill="auto"/>
            <w:noWrap/>
            <w:vAlign w:val="bottom"/>
            <w:hideMark/>
          </w:tcPr>
          <w:p w14:paraId="5CAD9E90"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18,82</w:t>
            </w:r>
          </w:p>
        </w:tc>
        <w:tc>
          <w:tcPr>
            <w:tcW w:w="1533" w:type="dxa"/>
            <w:tcBorders>
              <w:top w:val="nil"/>
              <w:left w:val="nil"/>
              <w:bottom w:val="nil"/>
              <w:right w:val="single" w:sz="4" w:space="0" w:color="auto"/>
            </w:tcBorders>
            <w:shd w:val="clear" w:color="auto" w:fill="auto"/>
            <w:noWrap/>
            <w:vAlign w:val="bottom"/>
            <w:hideMark/>
          </w:tcPr>
          <w:p w14:paraId="0BA8E5B0"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3,76</w:t>
            </w:r>
          </w:p>
        </w:tc>
        <w:tc>
          <w:tcPr>
            <w:tcW w:w="1658" w:type="dxa"/>
            <w:tcBorders>
              <w:top w:val="nil"/>
              <w:left w:val="nil"/>
              <w:bottom w:val="nil"/>
              <w:right w:val="double" w:sz="6" w:space="0" w:color="auto"/>
            </w:tcBorders>
            <w:shd w:val="clear" w:color="auto" w:fill="auto"/>
            <w:noWrap/>
            <w:vAlign w:val="bottom"/>
            <w:hideMark/>
          </w:tcPr>
          <w:p w14:paraId="69804F93"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0,18</w:t>
            </w:r>
          </w:p>
        </w:tc>
      </w:tr>
      <w:tr w:rsidR="005F20F6" w:rsidRPr="005F20F6" w14:paraId="02F6B442"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2A1E27D0"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2017</w:t>
            </w:r>
          </w:p>
        </w:tc>
        <w:tc>
          <w:tcPr>
            <w:tcW w:w="1546" w:type="dxa"/>
            <w:tcBorders>
              <w:top w:val="nil"/>
              <w:left w:val="nil"/>
              <w:bottom w:val="nil"/>
              <w:right w:val="single" w:sz="4" w:space="0" w:color="auto"/>
            </w:tcBorders>
            <w:shd w:val="clear" w:color="auto" w:fill="auto"/>
            <w:noWrap/>
            <w:vAlign w:val="bottom"/>
            <w:hideMark/>
          </w:tcPr>
          <w:p w14:paraId="61EA1008" w14:textId="77777777" w:rsidR="005F20F6" w:rsidRPr="00F745AE" w:rsidRDefault="005F20F6" w:rsidP="005F20F6">
            <w:pPr>
              <w:overflowPunct/>
              <w:autoSpaceDE/>
              <w:autoSpaceDN/>
              <w:adjustRightInd/>
              <w:jc w:val="center"/>
              <w:textAlignment w:val="auto"/>
              <w:rPr>
                <w:rFonts w:ascii="Arial" w:hAnsi="Arial" w:cs="Arial"/>
                <w:color w:val="000000"/>
              </w:rPr>
            </w:pPr>
            <w:r w:rsidRPr="0024579F">
              <w:rPr>
                <w:rFonts w:ascii="Arial" w:hAnsi="Arial" w:cs="Arial"/>
              </w:rPr>
              <w:t>25,61</w:t>
            </w:r>
          </w:p>
        </w:tc>
        <w:tc>
          <w:tcPr>
            <w:tcW w:w="1435" w:type="dxa"/>
            <w:tcBorders>
              <w:top w:val="nil"/>
              <w:left w:val="nil"/>
              <w:bottom w:val="nil"/>
              <w:right w:val="single" w:sz="4" w:space="0" w:color="auto"/>
            </w:tcBorders>
            <w:shd w:val="clear" w:color="auto" w:fill="auto"/>
            <w:noWrap/>
            <w:vAlign w:val="bottom"/>
            <w:hideMark/>
          </w:tcPr>
          <w:p w14:paraId="6B75E8F5"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19,54</w:t>
            </w:r>
          </w:p>
        </w:tc>
        <w:tc>
          <w:tcPr>
            <w:tcW w:w="1533" w:type="dxa"/>
            <w:tcBorders>
              <w:top w:val="nil"/>
              <w:left w:val="nil"/>
              <w:bottom w:val="nil"/>
              <w:right w:val="single" w:sz="4" w:space="0" w:color="auto"/>
            </w:tcBorders>
            <w:shd w:val="clear" w:color="auto" w:fill="auto"/>
            <w:noWrap/>
            <w:vAlign w:val="bottom"/>
            <w:hideMark/>
          </w:tcPr>
          <w:p w14:paraId="2576E7FB" w14:textId="1E39224D"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5,0</w:t>
            </w:r>
            <w:r w:rsidR="00783819" w:rsidRPr="00F745AE">
              <w:rPr>
                <w:rFonts w:ascii="Arial" w:hAnsi="Arial" w:cs="Arial"/>
                <w:b/>
                <w:bCs/>
                <w:color w:val="000000"/>
              </w:rPr>
              <w:t>7</w:t>
            </w:r>
          </w:p>
        </w:tc>
        <w:tc>
          <w:tcPr>
            <w:tcW w:w="1658" w:type="dxa"/>
            <w:tcBorders>
              <w:top w:val="nil"/>
              <w:left w:val="nil"/>
              <w:bottom w:val="nil"/>
              <w:right w:val="double" w:sz="6" w:space="0" w:color="auto"/>
            </w:tcBorders>
            <w:shd w:val="clear" w:color="auto" w:fill="auto"/>
            <w:noWrap/>
            <w:vAlign w:val="bottom"/>
            <w:hideMark/>
          </w:tcPr>
          <w:p w14:paraId="5DAE4E17"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1,28</w:t>
            </w:r>
          </w:p>
        </w:tc>
      </w:tr>
      <w:tr w:rsidR="005F20F6" w:rsidRPr="005F20F6" w14:paraId="48B8929A"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4D6DEAAB"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2018</w:t>
            </w:r>
          </w:p>
        </w:tc>
        <w:tc>
          <w:tcPr>
            <w:tcW w:w="1546" w:type="dxa"/>
            <w:tcBorders>
              <w:top w:val="nil"/>
              <w:left w:val="nil"/>
              <w:bottom w:val="nil"/>
              <w:right w:val="single" w:sz="4" w:space="0" w:color="auto"/>
            </w:tcBorders>
            <w:shd w:val="clear" w:color="auto" w:fill="auto"/>
            <w:noWrap/>
            <w:vAlign w:val="bottom"/>
            <w:hideMark/>
          </w:tcPr>
          <w:p w14:paraId="0CD07FCA"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29,23</w:t>
            </w:r>
          </w:p>
        </w:tc>
        <w:tc>
          <w:tcPr>
            <w:tcW w:w="1435" w:type="dxa"/>
            <w:tcBorders>
              <w:top w:val="nil"/>
              <w:left w:val="nil"/>
              <w:bottom w:val="nil"/>
              <w:right w:val="single" w:sz="4" w:space="0" w:color="auto"/>
            </w:tcBorders>
            <w:shd w:val="clear" w:color="auto" w:fill="auto"/>
            <w:noWrap/>
            <w:vAlign w:val="bottom"/>
            <w:hideMark/>
          </w:tcPr>
          <w:p w14:paraId="35C30E73"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27,74</w:t>
            </w:r>
          </w:p>
        </w:tc>
        <w:tc>
          <w:tcPr>
            <w:tcW w:w="1533" w:type="dxa"/>
            <w:tcBorders>
              <w:top w:val="nil"/>
              <w:left w:val="nil"/>
              <w:bottom w:val="nil"/>
              <w:right w:val="single" w:sz="4" w:space="0" w:color="auto"/>
            </w:tcBorders>
            <w:shd w:val="clear" w:color="auto" w:fill="auto"/>
            <w:noWrap/>
            <w:vAlign w:val="bottom"/>
            <w:hideMark/>
          </w:tcPr>
          <w:p w14:paraId="170E0FBF"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1,17</w:t>
            </w:r>
          </w:p>
        </w:tc>
        <w:tc>
          <w:tcPr>
            <w:tcW w:w="1658" w:type="dxa"/>
            <w:tcBorders>
              <w:top w:val="nil"/>
              <w:left w:val="nil"/>
              <w:bottom w:val="nil"/>
              <w:right w:val="double" w:sz="6" w:space="0" w:color="auto"/>
            </w:tcBorders>
            <w:shd w:val="clear" w:color="auto" w:fill="auto"/>
            <w:noWrap/>
            <w:vAlign w:val="bottom"/>
            <w:hideMark/>
          </w:tcPr>
          <w:p w14:paraId="117ECE2F"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0,39</w:t>
            </w:r>
          </w:p>
        </w:tc>
      </w:tr>
      <w:tr w:rsidR="005F20F6" w:rsidRPr="005F20F6" w14:paraId="4AFDE634"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6BDCFA41"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2019</w:t>
            </w:r>
          </w:p>
        </w:tc>
        <w:tc>
          <w:tcPr>
            <w:tcW w:w="1546" w:type="dxa"/>
            <w:tcBorders>
              <w:top w:val="nil"/>
              <w:left w:val="nil"/>
              <w:bottom w:val="nil"/>
              <w:right w:val="single" w:sz="4" w:space="0" w:color="auto"/>
            </w:tcBorders>
            <w:shd w:val="clear" w:color="auto" w:fill="auto"/>
            <w:noWrap/>
            <w:vAlign w:val="bottom"/>
            <w:hideMark/>
          </w:tcPr>
          <w:p w14:paraId="1779876D"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34,00</w:t>
            </w:r>
          </w:p>
        </w:tc>
        <w:tc>
          <w:tcPr>
            <w:tcW w:w="1435" w:type="dxa"/>
            <w:tcBorders>
              <w:top w:val="nil"/>
              <w:left w:val="nil"/>
              <w:bottom w:val="nil"/>
              <w:right w:val="single" w:sz="4" w:space="0" w:color="auto"/>
            </w:tcBorders>
            <w:shd w:val="clear" w:color="auto" w:fill="auto"/>
            <w:noWrap/>
            <w:vAlign w:val="bottom"/>
            <w:hideMark/>
          </w:tcPr>
          <w:p w14:paraId="2C4D2529"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30,60</w:t>
            </w:r>
          </w:p>
        </w:tc>
        <w:tc>
          <w:tcPr>
            <w:tcW w:w="1533" w:type="dxa"/>
            <w:tcBorders>
              <w:top w:val="nil"/>
              <w:left w:val="nil"/>
              <w:bottom w:val="nil"/>
              <w:right w:val="single" w:sz="4" w:space="0" w:color="auto"/>
            </w:tcBorders>
            <w:shd w:val="clear" w:color="auto" w:fill="auto"/>
            <w:noWrap/>
            <w:vAlign w:val="bottom"/>
            <w:hideMark/>
          </w:tcPr>
          <w:p w14:paraId="26975117" w14:textId="3613A7AB"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w:t>
            </w:r>
            <w:r w:rsidR="00783819" w:rsidRPr="00F745AE">
              <w:rPr>
                <w:rFonts w:ascii="Arial" w:hAnsi="Arial" w:cs="Arial"/>
                <w:b/>
                <w:bCs/>
                <w:color w:val="000000"/>
              </w:rPr>
              <w:t>60</w:t>
            </w:r>
          </w:p>
        </w:tc>
        <w:tc>
          <w:tcPr>
            <w:tcW w:w="1658" w:type="dxa"/>
            <w:tcBorders>
              <w:top w:val="nil"/>
              <w:left w:val="nil"/>
              <w:bottom w:val="nil"/>
              <w:right w:val="double" w:sz="6" w:space="0" w:color="auto"/>
            </w:tcBorders>
            <w:shd w:val="clear" w:color="auto" w:fill="auto"/>
            <w:noWrap/>
            <w:vAlign w:val="bottom"/>
            <w:hideMark/>
          </w:tcPr>
          <w:p w14:paraId="160EA5DE"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2,87</w:t>
            </w:r>
          </w:p>
        </w:tc>
      </w:tr>
      <w:tr w:rsidR="005F20F6" w:rsidRPr="005F20F6" w14:paraId="17C5F03D" w14:textId="77777777" w:rsidTr="005F20F6">
        <w:trPr>
          <w:trHeight w:val="300"/>
        </w:trPr>
        <w:tc>
          <w:tcPr>
            <w:tcW w:w="1478" w:type="dxa"/>
            <w:tcBorders>
              <w:top w:val="nil"/>
              <w:left w:val="double" w:sz="6" w:space="0" w:color="auto"/>
              <w:bottom w:val="double" w:sz="6" w:space="0" w:color="auto"/>
              <w:right w:val="single" w:sz="4" w:space="0" w:color="auto"/>
            </w:tcBorders>
            <w:shd w:val="clear" w:color="000000" w:fill="D9D9D9"/>
            <w:noWrap/>
            <w:vAlign w:val="bottom"/>
            <w:hideMark/>
          </w:tcPr>
          <w:p w14:paraId="09752758"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lastRenderedPageBreak/>
              <w:t>2020</w:t>
            </w:r>
          </w:p>
        </w:tc>
        <w:tc>
          <w:tcPr>
            <w:tcW w:w="1546" w:type="dxa"/>
            <w:tcBorders>
              <w:top w:val="nil"/>
              <w:left w:val="nil"/>
              <w:bottom w:val="double" w:sz="6" w:space="0" w:color="auto"/>
              <w:right w:val="single" w:sz="4" w:space="0" w:color="auto"/>
            </w:tcBorders>
            <w:shd w:val="clear" w:color="auto" w:fill="auto"/>
            <w:noWrap/>
            <w:vAlign w:val="bottom"/>
            <w:hideMark/>
          </w:tcPr>
          <w:p w14:paraId="6E731543"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35,47</w:t>
            </w:r>
          </w:p>
        </w:tc>
        <w:tc>
          <w:tcPr>
            <w:tcW w:w="1435" w:type="dxa"/>
            <w:tcBorders>
              <w:top w:val="nil"/>
              <w:left w:val="nil"/>
              <w:bottom w:val="double" w:sz="6" w:space="0" w:color="auto"/>
              <w:right w:val="single" w:sz="4" w:space="0" w:color="auto"/>
            </w:tcBorders>
            <w:shd w:val="clear" w:color="auto" w:fill="auto"/>
            <w:noWrap/>
            <w:vAlign w:val="bottom"/>
            <w:hideMark/>
          </w:tcPr>
          <w:p w14:paraId="50039151"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36,22</w:t>
            </w:r>
          </w:p>
        </w:tc>
        <w:tc>
          <w:tcPr>
            <w:tcW w:w="1533" w:type="dxa"/>
            <w:tcBorders>
              <w:top w:val="nil"/>
              <w:left w:val="nil"/>
              <w:bottom w:val="double" w:sz="6" w:space="0" w:color="auto"/>
              <w:right w:val="single" w:sz="4" w:space="0" w:color="auto"/>
            </w:tcBorders>
            <w:shd w:val="clear" w:color="auto" w:fill="auto"/>
            <w:noWrap/>
            <w:vAlign w:val="bottom"/>
            <w:hideMark/>
          </w:tcPr>
          <w:p w14:paraId="33EAB282"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-0,55</w:t>
            </w:r>
          </w:p>
        </w:tc>
        <w:tc>
          <w:tcPr>
            <w:tcW w:w="1658" w:type="dxa"/>
            <w:tcBorders>
              <w:top w:val="nil"/>
              <w:left w:val="nil"/>
              <w:bottom w:val="double" w:sz="6" w:space="0" w:color="auto"/>
              <w:right w:val="double" w:sz="6" w:space="0" w:color="auto"/>
            </w:tcBorders>
            <w:shd w:val="clear" w:color="auto" w:fill="auto"/>
            <w:noWrap/>
            <w:vAlign w:val="bottom"/>
            <w:hideMark/>
          </w:tcPr>
          <w:p w14:paraId="4DCEF626"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3,45</w:t>
            </w:r>
          </w:p>
        </w:tc>
      </w:tr>
      <w:tr w:rsidR="005F20F6" w:rsidRPr="005F20F6" w14:paraId="79D7F719" w14:textId="77777777" w:rsidTr="005F20F6">
        <w:trPr>
          <w:trHeight w:val="312"/>
        </w:trPr>
        <w:tc>
          <w:tcPr>
            <w:tcW w:w="1478" w:type="dxa"/>
            <w:tcBorders>
              <w:top w:val="nil"/>
              <w:left w:val="nil"/>
              <w:bottom w:val="nil"/>
              <w:right w:val="nil"/>
            </w:tcBorders>
            <w:shd w:val="clear" w:color="auto" w:fill="auto"/>
            <w:noWrap/>
            <w:vAlign w:val="bottom"/>
            <w:hideMark/>
          </w:tcPr>
          <w:p w14:paraId="1F9E253C" w14:textId="77777777" w:rsidR="005F20F6" w:rsidRPr="00F745AE" w:rsidRDefault="005F20F6" w:rsidP="005F20F6">
            <w:pPr>
              <w:overflowPunct/>
              <w:autoSpaceDE/>
              <w:autoSpaceDN/>
              <w:adjustRightInd/>
              <w:jc w:val="center"/>
              <w:textAlignment w:val="auto"/>
              <w:rPr>
                <w:rFonts w:ascii="Arial" w:hAnsi="Arial" w:cs="Arial"/>
                <w:color w:val="000000"/>
              </w:rPr>
            </w:pPr>
          </w:p>
        </w:tc>
        <w:tc>
          <w:tcPr>
            <w:tcW w:w="1546" w:type="dxa"/>
            <w:tcBorders>
              <w:top w:val="nil"/>
              <w:left w:val="nil"/>
              <w:bottom w:val="nil"/>
              <w:right w:val="nil"/>
            </w:tcBorders>
            <w:shd w:val="clear" w:color="auto" w:fill="auto"/>
            <w:noWrap/>
            <w:vAlign w:val="bottom"/>
            <w:hideMark/>
          </w:tcPr>
          <w:p w14:paraId="110736CE" w14:textId="77777777" w:rsidR="005F20F6" w:rsidRPr="00F745AE" w:rsidRDefault="005F20F6" w:rsidP="005F20F6">
            <w:pPr>
              <w:overflowPunct/>
              <w:autoSpaceDE/>
              <w:autoSpaceDN/>
              <w:adjustRightInd/>
              <w:jc w:val="center"/>
              <w:textAlignment w:val="auto"/>
              <w:rPr>
                <w:rFonts w:ascii="Arial" w:hAnsi="Arial" w:cs="Arial"/>
              </w:rPr>
            </w:pPr>
          </w:p>
        </w:tc>
        <w:tc>
          <w:tcPr>
            <w:tcW w:w="1435" w:type="dxa"/>
            <w:tcBorders>
              <w:top w:val="nil"/>
              <w:left w:val="nil"/>
              <w:bottom w:val="nil"/>
              <w:right w:val="nil"/>
            </w:tcBorders>
            <w:shd w:val="clear" w:color="auto" w:fill="auto"/>
            <w:noWrap/>
            <w:vAlign w:val="bottom"/>
            <w:hideMark/>
          </w:tcPr>
          <w:p w14:paraId="5CCE45AA" w14:textId="77777777" w:rsidR="005F20F6" w:rsidRPr="00F745AE" w:rsidRDefault="005F20F6" w:rsidP="005F20F6">
            <w:pPr>
              <w:overflowPunct/>
              <w:autoSpaceDE/>
              <w:autoSpaceDN/>
              <w:adjustRightInd/>
              <w:jc w:val="center"/>
              <w:textAlignment w:val="auto"/>
              <w:rPr>
                <w:rFonts w:ascii="Arial" w:hAnsi="Arial" w:cs="Arial"/>
              </w:rPr>
            </w:pPr>
          </w:p>
        </w:tc>
        <w:tc>
          <w:tcPr>
            <w:tcW w:w="1533" w:type="dxa"/>
            <w:tcBorders>
              <w:top w:val="nil"/>
              <w:left w:val="nil"/>
              <w:bottom w:val="nil"/>
              <w:right w:val="nil"/>
            </w:tcBorders>
            <w:shd w:val="clear" w:color="auto" w:fill="auto"/>
            <w:noWrap/>
            <w:vAlign w:val="bottom"/>
            <w:hideMark/>
          </w:tcPr>
          <w:p w14:paraId="705379E0" w14:textId="77777777" w:rsidR="005F20F6" w:rsidRPr="00F745AE" w:rsidRDefault="005F20F6" w:rsidP="005F20F6">
            <w:pPr>
              <w:overflowPunct/>
              <w:autoSpaceDE/>
              <w:autoSpaceDN/>
              <w:adjustRightInd/>
              <w:textAlignment w:val="auto"/>
              <w:rPr>
                <w:rFonts w:ascii="Arial" w:hAnsi="Arial" w:cs="Arial"/>
              </w:rPr>
            </w:pPr>
          </w:p>
        </w:tc>
        <w:tc>
          <w:tcPr>
            <w:tcW w:w="1658" w:type="dxa"/>
            <w:tcBorders>
              <w:top w:val="nil"/>
              <w:left w:val="nil"/>
              <w:bottom w:val="nil"/>
              <w:right w:val="nil"/>
            </w:tcBorders>
            <w:shd w:val="clear" w:color="auto" w:fill="auto"/>
            <w:noWrap/>
            <w:vAlign w:val="bottom"/>
            <w:hideMark/>
          </w:tcPr>
          <w:p w14:paraId="4D776E86" w14:textId="77777777" w:rsidR="005F20F6" w:rsidRPr="00F745AE" w:rsidRDefault="005F20F6" w:rsidP="005F20F6">
            <w:pPr>
              <w:overflowPunct/>
              <w:autoSpaceDE/>
              <w:autoSpaceDN/>
              <w:adjustRightInd/>
              <w:textAlignment w:val="auto"/>
              <w:rPr>
                <w:rFonts w:ascii="Arial" w:hAnsi="Arial" w:cs="Arial"/>
              </w:rPr>
            </w:pPr>
          </w:p>
        </w:tc>
      </w:tr>
      <w:tr w:rsidR="005F20F6" w:rsidRPr="005F20F6" w14:paraId="507EBF55" w14:textId="77777777" w:rsidTr="005F20F6">
        <w:trPr>
          <w:trHeight w:val="300"/>
        </w:trPr>
        <w:tc>
          <w:tcPr>
            <w:tcW w:w="7650" w:type="dxa"/>
            <w:gridSpan w:val="5"/>
            <w:tcBorders>
              <w:top w:val="double" w:sz="6" w:space="0" w:color="auto"/>
              <w:left w:val="double" w:sz="6" w:space="0" w:color="auto"/>
              <w:bottom w:val="nil"/>
              <w:right w:val="double" w:sz="6" w:space="0" w:color="000000"/>
            </w:tcBorders>
            <w:shd w:val="clear" w:color="auto" w:fill="auto"/>
            <w:vAlign w:val="bottom"/>
            <w:hideMark/>
          </w:tcPr>
          <w:p w14:paraId="6D2F73EA"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Besoldungsgruppe R 2</w:t>
            </w:r>
          </w:p>
        </w:tc>
      </w:tr>
      <w:tr w:rsidR="005F20F6" w:rsidRPr="005F20F6" w14:paraId="1D6D1539" w14:textId="77777777" w:rsidTr="005F20F6">
        <w:trPr>
          <w:trHeight w:val="828"/>
        </w:trPr>
        <w:tc>
          <w:tcPr>
            <w:tcW w:w="147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97F0C4D" w14:textId="3CD190D9" w:rsidR="005F20F6" w:rsidRPr="00F745AE" w:rsidRDefault="005F20F6" w:rsidP="005F20F6">
            <w:pPr>
              <w:overflowPunct/>
              <w:autoSpaceDE/>
              <w:autoSpaceDN/>
              <w:adjustRightInd/>
              <w:jc w:val="center"/>
              <w:textAlignment w:val="auto"/>
              <w:rPr>
                <w:rFonts w:ascii="Arial" w:hAnsi="Arial" w:cs="Arial"/>
                <w:b/>
                <w:bCs/>
                <w:color w:val="000000"/>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0A07B972" w14:textId="42CBDDC5" w:rsidR="005F20F6" w:rsidRPr="00F745AE" w:rsidRDefault="00CF67C5"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w:t>
            </w:r>
            <w:r w:rsidR="005F20F6" w:rsidRPr="00F745AE">
              <w:rPr>
                <w:rFonts w:ascii="Arial" w:hAnsi="Arial" w:cs="Arial"/>
                <w:b/>
                <w:bCs/>
                <w:color w:val="000000"/>
              </w:rPr>
              <w:t>Anstieg Nominallohn</w:t>
            </w:r>
            <w:r w:rsidR="00392EA4">
              <w:rPr>
                <w:rFonts w:ascii="Arial" w:hAnsi="Arial" w:cs="Arial"/>
                <w:b/>
                <w:bCs/>
                <w:color w:val="000000"/>
              </w:rPr>
              <w:t>index</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65620B3A" w14:textId="38BBB169"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Anstieg der Besoldung </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7D558E7A"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2. Parameter </w:t>
            </w:r>
          </w:p>
        </w:tc>
        <w:tc>
          <w:tcPr>
            <w:tcW w:w="1658" w:type="dxa"/>
            <w:tcBorders>
              <w:top w:val="single" w:sz="4" w:space="0" w:color="auto"/>
              <w:left w:val="nil"/>
              <w:bottom w:val="single" w:sz="4" w:space="0" w:color="auto"/>
              <w:right w:val="double" w:sz="6" w:space="0" w:color="auto"/>
            </w:tcBorders>
            <w:shd w:val="clear" w:color="auto" w:fill="auto"/>
            <w:vAlign w:val="center"/>
            <w:hideMark/>
          </w:tcPr>
          <w:p w14:paraId="5647D96D" w14:textId="77777777" w:rsidR="005F20F6" w:rsidRPr="00F745AE" w:rsidRDefault="005F20F6" w:rsidP="005F20F6">
            <w:pPr>
              <w:overflowPunct/>
              <w:autoSpaceDE/>
              <w:autoSpaceDN/>
              <w:adjustRightInd/>
              <w:textAlignment w:val="auto"/>
              <w:rPr>
                <w:rFonts w:ascii="Arial" w:hAnsi="Arial" w:cs="Arial"/>
                <w:b/>
                <w:bCs/>
                <w:color w:val="000000"/>
              </w:rPr>
            </w:pPr>
            <w:r w:rsidRPr="00F745AE">
              <w:rPr>
                <w:rFonts w:ascii="Arial" w:hAnsi="Arial" w:cs="Arial"/>
                <w:b/>
                <w:bCs/>
                <w:color w:val="000000"/>
              </w:rPr>
              <w:t>Staffelprüfung</w:t>
            </w:r>
          </w:p>
        </w:tc>
      </w:tr>
      <w:tr w:rsidR="005F20F6" w:rsidRPr="005F20F6" w14:paraId="69E06051" w14:textId="77777777" w:rsidTr="005F20F6">
        <w:trPr>
          <w:trHeight w:val="288"/>
        </w:trPr>
        <w:tc>
          <w:tcPr>
            <w:tcW w:w="765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7CD3F163"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 xml:space="preserve"> im 15-jährigen Betrachtungszeitraum (jeweils in %) </w:t>
            </w:r>
          </w:p>
        </w:tc>
      </w:tr>
      <w:tr w:rsidR="005F20F6" w:rsidRPr="005F20F6" w14:paraId="1FF8647C"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5FDBFF48"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2016</w:t>
            </w:r>
          </w:p>
        </w:tc>
        <w:tc>
          <w:tcPr>
            <w:tcW w:w="1546" w:type="dxa"/>
            <w:tcBorders>
              <w:top w:val="nil"/>
              <w:left w:val="nil"/>
              <w:bottom w:val="nil"/>
              <w:right w:val="single" w:sz="4" w:space="0" w:color="auto"/>
            </w:tcBorders>
            <w:shd w:val="clear" w:color="auto" w:fill="auto"/>
            <w:noWrap/>
            <w:vAlign w:val="bottom"/>
            <w:hideMark/>
          </w:tcPr>
          <w:p w14:paraId="15DD50AA"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23,28</w:t>
            </w:r>
          </w:p>
        </w:tc>
        <w:tc>
          <w:tcPr>
            <w:tcW w:w="1435" w:type="dxa"/>
            <w:tcBorders>
              <w:top w:val="nil"/>
              <w:left w:val="nil"/>
              <w:bottom w:val="nil"/>
              <w:right w:val="single" w:sz="4" w:space="0" w:color="auto"/>
            </w:tcBorders>
            <w:shd w:val="clear" w:color="auto" w:fill="auto"/>
            <w:noWrap/>
            <w:vAlign w:val="bottom"/>
            <w:hideMark/>
          </w:tcPr>
          <w:p w14:paraId="666C45A0"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18,68</w:t>
            </w:r>
          </w:p>
        </w:tc>
        <w:tc>
          <w:tcPr>
            <w:tcW w:w="1533" w:type="dxa"/>
            <w:tcBorders>
              <w:top w:val="nil"/>
              <w:left w:val="nil"/>
              <w:bottom w:val="nil"/>
              <w:right w:val="single" w:sz="4" w:space="0" w:color="auto"/>
            </w:tcBorders>
            <w:shd w:val="clear" w:color="auto" w:fill="auto"/>
            <w:noWrap/>
            <w:vAlign w:val="bottom"/>
            <w:hideMark/>
          </w:tcPr>
          <w:p w14:paraId="62B7E9FC" w14:textId="67AB8C1C"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3,8</w:t>
            </w:r>
            <w:r w:rsidR="00095FF8" w:rsidRPr="00F745AE">
              <w:rPr>
                <w:rFonts w:ascii="Arial" w:hAnsi="Arial" w:cs="Arial"/>
                <w:b/>
                <w:bCs/>
                <w:color w:val="000000"/>
              </w:rPr>
              <w:t>8</w:t>
            </w:r>
          </w:p>
        </w:tc>
        <w:tc>
          <w:tcPr>
            <w:tcW w:w="1658" w:type="dxa"/>
            <w:tcBorders>
              <w:top w:val="nil"/>
              <w:left w:val="nil"/>
              <w:bottom w:val="nil"/>
              <w:right w:val="double" w:sz="6" w:space="0" w:color="auto"/>
            </w:tcBorders>
            <w:shd w:val="clear" w:color="auto" w:fill="auto"/>
            <w:noWrap/>
            <w:vAlign w:val="bottom"/>
            <w:hideMark/>
          </w:tcPr>
          <w:p w14:paraId="449840BD"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0,29</w:t>
            </w:r>
          </w:p>
        </w:tc>
      </w:tr>
      <w:tr w:rsidR="005F20F6" w:rsidRPr="005F20F6" w14:paraId="10115039"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1733AA03"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2017</w:t>
            </w:r>
          </w:p>
        </w:tc>
        <w:tc>
          <w:tcPr>
            <w:tcW w:w="1546" w:type="dxa"/>
            <w:tcBorders>
              <w:top w:val="nil"/>
              <w:left w:val="nil"/>
              <w:bottom w:val="nil"/>
              <w:right w:val="single" w:sz="4" w:space="0" w:color="auto"/>
            </w:tcBorders>
            <w:shd w:val="clear" w:color="auto" w:fill="auto"/>
            <w:noWrap/>
            <w:vAlign w:val="bottom"/>
            <w:hideMark/>
          </w:tcPr>
          <w:p w14:paraId="340DFB13" w14:textId="77777777" w:rsidR="005F20F6" w:rsidRPr="00F745AE" w:rsidRDefault="005F20F6" w:rsidP="005F20F6">
            <w:pPr>
              <w:overflowPunct/>
              <w:autoSpaceDE/>
              <w:autoSpaceDN/>
              <w:adjustRightInd/>
              <w:jc w:val="center"/>
              <w:textAlignment w:val="auto"/>
              <w:rPr>
                <w:rFonts w:ascii="Arial" w:hAnsi="Arial" w:cs="Arial"/>
                <w:color w:val="000000"/>
              </w:rPr>
            </w:pPr>
            <w:r w:rsidRPr="0024579F">
              <w:rPr>
                <w:rFonts w:ascii="Arial" w:hAnsi="Arial" w:cs="Arial"/>
              </w:rPr>
              <w:t>25,61</w:t>
            </w:r>
          </w:p>
        </w:tc>
        <w:tc>
          <w:tcPr>
            <w:tcW w:w="1435" w:type="dxa"/>
            <w:tcBorders>
              <w:top w:val="nil"/>
              <w:left w:val="nil"/>
              <w:bottom w:val="nil"/>
              <w:right w:val="single" w:sz="4" w:space="0" w:color="auto"/>
            </w:tcBorders>
            <w:shd w:val="clear" w:color="auto" w:fill="auto"/>
            <w:noWrap/>
            <w:vAlign w:val="bottom"/>
            <w:hideMark/>
          </w:tcPr>
          <w:p w14:paraId="1765D468"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19,37</w:t>
            </w:r>
          </w:p>
        </w:tc>
        <w:tc>
          <w:tcPr>
            <w:tcW w:w="1533" w:type="dxa"/>
            <w:tcBorders>
              <w:top w:val="nil"/>
              <w:left w:val="nil"/>
              <w:bottom w:val="nil"/>
              <w:right w:val="single" w:sz="4" w:space="0" w:color="auto"/>
            </w:tcBorders>
            <w:shd w:val="clear" w:color="auto" w:fill="auto"/>
            <w:noWrap/>
            <w:vAlign w:val="bottom"/>
            <w:hideMark/>
          </w:tcPr>
          <w:p w14:paraId="38925EB7" w14:textId="1D209AA8" w:rsidR="005F20F6" w:rsidRPr="00F745AE" w:rsidRDefault="00095FF8"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5,22</w:t>
            </w:r>
          </w:p>
        </w:tc>
        <w:tc>
          <w:tcPr>
            <w:tcW w:w="1658" w:type="dxa"/>
            <w:tcBorders>
              <w:top w:val="nil"/>
              <w:left w:val="nil"/>
              <w:bottom w:val="nil"/>
              <w:right w:val="double" w:sz="6" w:space="0" w:color="auto"/>
            </w:tcBorders>
            <w:shd w:val="clear" w:color="auto" w:fill="auto"/>
            <w:noWrap/>
            <w:vAlign w:val="bottom"/>
            <w:hideMark/>
          </w:tcPr>
          <w:p w14:paraId="62487084"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1,39</w:t>
            </w:r>
          </w:p>
        </w:tc>
      </w:tr>
      <w:tr w:rsidR="005F20F6" w:rsidRPr="005F20F6" w14:paraId="382D2E43"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033F4D23"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2018</w:t>
            </w:r>
          </w:p>
        </w:tc>
        <w:tc>
          <w:tcPr>
            <w:tcW w:w="1546" w:type="dxa"/>
            <w:tcBorders>
              <w:top w:val="nil"/>
              <w:left w:val="nil"/>
              <w:bottom w:val="nil"/>
              <w:right w:val="single" w:sz="4" w:space="0" w:color="auto"/>
            </w:tcBorders>
            <w:shd w:val="clear" w:color="auto" w:fill="auto"/>
            <w:noWrap/>
            <w:vAlign w:val="bottom"/>
            <w:hideMark/>
          </w:tcPr>
          <w:p w14:paraId="2E7EF48F"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29,23</w:t>
            </w:r>
          </w:p>
        </w:tc>
        <w:tc>
          <w:tcPr>
            <w:tcW w:w="1435" w:type="dxa"/>
            <w:tcBorders>
              <w:top w:val="nil"/>
              <w:left w:val="nil"/>
              <w:bottom w:val="nil"/>
              <w:right w:val="single" w:sz="4" w:space="0" w:color="auto"/>
            </w:tcBorders>
            <w:shd w:val="clear" w:color="auto" w:fill="auto"/>
            <w:noWrap/>
            <w:vAlign w:val="bottom"/>
            <w:hideMark/>
          </w:tcPr>
          <w:p w14:paraId="5778D84F"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27,65</w:t>
            </w:r>
          </w:p>
        </w:tc>
        <w:tc>
          <w:tcPr>
            <w:tcW w:w="1533" w:type="dxa"/>
            <w:tcBorders>
              <w:top w:val="nil"/>
              <w:left w:val="nil"/>
              <w:bottom w:val="nil"/>
              <w:right w:val="single" w:sz="4" w:space="0" w:color="auto"/>
            </w:tcBorders>
            <w:shd w:val="clear" w:color="auto" w:fill="auto"/>
            <w:noWrap/>
            <w:vAlign w:val="bottom"/>
            <w:hideMark/>
          </w:tcPr>
          <w:p w14:paraId="520F2EAE" w14:textId="77510771"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1,2</w:t>
            </w:r>
            <w:r w:rsidR="00783819" w:rsidRPr="00F745AE">
              <w:rPr>
                <w:rFonts w:ascii="Arial" w:hAnsi="Arial" w:cs="Arial"/>
                <w:b/>
                <w:bCs/>
                <w:color w:val="000000"/>
              </w:rPr>
              <w:t>4</w:t>
            </w:r>
          </w:p>
        </w:tc>
        <w:tc>
          <w:tcPr>
            <w:tcW w:w="1658" w:type="dxa"/>
            <w:tcBorders>
              <w:top w:val="nil"/>
              <w:left w:val="nil"/>
              <w:bottom w:val="nil"/>
              <w:right w:val="double" w:sz="6" w:space="0" w:color="auto"/>
            </w:tcBorders>
            <w:shd w:val="clear" w:color="auto" w:fill="auto"/>
            <w:noWrap/>
            <w:vAlign w:val="bottom"/>
            <w:hideMark/>
          </w:tcPr>
          <w:p w14:paraId="2B7EBD34"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0,50</w:t>
            </w:r>
          </w:p>
        </w:tc>
      </w:tr>
      <w:tr w:rsidR="005F20F6" w:rsidRPr="005F20F6" w14:paraId="6F834EC8" w14:textId="77777777" w:rsidTr="005F20F6">
        <w:trPr>
          <w:trHeight w:val="288"/>
        </w:trPr>
        <w:tc>
          <w:tcPr>
            <w:tcW w:w="1478" w:type="dxa"/>
            <w:tcBorders>
              <w:top w:val="nil"/>
              <w:left w:val="double" w:sz="6" w:space="0" w:color="auto"/>
              <w:bottom w:val="nil"/>
              <w:right w:val="single" w:sz="4" w:space="0" w:color="auto"/>
            </w:tcBorders>
            <w:shd w:val="clear" w:color="000000" w:fill="D9D9D9"/>
            <w:noWrap/>
            <w:vAlign w:val="bottom"/>
            <w:hideMark/>
          </w:tcPr>
          <w:p w14:paraId="385486EC"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2019</w:t>
            </w:r>
          </w:p>
        </w:tc>
        <w:tc>
          <w:tcPr>
            <w:tcW w:w="1546" w:type="dxa"/>
            <w:tcBorders>
              <w:top w:val="nil"/>
              <w:left w:val="nil"/>
              <w:bottom w:val="nil"/>
              <w:right w:val="single" w:sz="4" w:space="0" w:color="auto"/>
            </w:tcBorders>
            <w:shd w:val="clear" w:color="auto" w:fill="auto"/>
            <w:noWrap/>
            <w:vAlign w:val="bottom"/>
            <w:hideMark/>
          </w:tcPr>
          <w:p w14:paraId="1DC8E99F"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34,00</w:t>
            </w:r>
          </w:p>
        </w:tc>
        <w:tc>
          <w:tcPr>
            <w:tcW w:w="1435" w:type="dxa"/>
            <w:tcBorders>
              <w:top w:val="nil"/>
              <w:left w:val="nil"/>
              <w:bottom w:val="nil"/>
              <w:right w:val="single" w:sz="4" w:space="0" w:color="auto"/>
            </w:tcBorders>
            <w:shd w:val="clear" w:color="auto" w:fill="auto"/>
            <w:noWrap/>
            <w:vAlign w:val="bottom"/>
            <w:hideMark/>
          </w:tcPr>
          <w:p w14:paraId="3FB74317"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30,51</w:t>
            </w:r>
          </w:p>
        </w:tc>
        <w:tc>
          <w:tcPr>
            <w:tcW w:w="1533" w:type="dxa"/>
            <w:tcBorders>
              <w:top w:val="nil"/>
              <w:left w:val="nil"/>
              <w:bottom w:val="nil"/>
              <w:right w:val="single" w:sz="4" w:space="0" w:color="auto"/>
            </w:tcBorders>
            <w:shd w:val="clear" w:color="auto" w:fill="auto"/>
            <w:noWrap/>
            <w:vAlign w:val="bottom"/>
            <w:hideMark/>
          </w:tcPr>
          <w:p w14:paraId="7495AA62"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2,67</w:t>
            </w:r>
          </w:p>
        </w:tc>
        <w:tc>
          <w:tcPr>
            <w:tcW w:w="1658" w:type="dxa"/>
            <w:tcBorders>
              <w:top w:val="nil"/>
              <w:left w:val="nil"/>
              <w:bottom w:val="nil"/>
              <w:right w:val="double" w:sz="6" w:space="0" w:color="auto"/>
            </w:tcBorders>
            <w:shd w:val="clear" w:color="auto" w:fill="auto"/>
            <w:noWrap/>
            <w:vAlign w:val="bottom"/>
            <w:hideMark/>
          </w:tcPr>
          <w:p w14:paraId="2CB67A6C"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2,99</w:t>
            </w:r>
          </w:p>
        </w:tc>
      </w:tr>
      <w:tr w:rsidR="005F20F6" w:rsidRPr="005F20F6" w14:paraId="727ED260" w14:textId="77777777" w:rsidTr="005F20F6">
        <w:trPr>
          <w:trHeight w:val="300"/>
        </w:trPr>
        <w:tc>
          <w:tcPr>
            <w:tcW w:w="1478" w:type="dxa"/>
            <w:tcBorders>
              <w:top w:val="nil"/>
              <w:left w:val="double" w:sz="6" w:space="0" w:color="auto"/>
              <w:bottom w:val="double" w:sz="6" w:space="0" w:color="auto"/>
              <w:right w:val="single" w:sz="4" w:space="0" w:color="auto"/>
            </w:tcBorders>
            <w:shd w:val="clear" w:color="000000" w:fill="D9D9D9"/>
            <w:noWrap/>
            <w:vAlign w:val="bottom"/>
            <w:hideMark/>
          </w:tcPr>
          <w:p w14:paraId="1B724EC9" w14:textId="77777777"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2020</w:t>
            </w:r>
          </w:p>
        </w:tc>
        <w:tc>
          <w:tcPr>
            <w:tcW w:w="1546" w:type="dxa"/>
            <w:tcBorders>
              <w:top w:val="nil"/>
              <w:left w:val="nil"/>
              <w:bottom w:val="double" w:sz="6" w:space="0" w:color="auto"/>
              <w:right w:val="single" w:sz="4" w:space="0" w:color="auto"/>
            </w:tcBorders>
            <w:shd w:val="clear" w:color="auto" w:fill="auto"/>
            <w:noWrap/>
            <w:vAlign w:val="bottom"/>
            <w:hideMark/>
          </w:tcPr>
          <w:p w14:paraId="0B453FE0"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35,47</w:t>
            </w:r>
          </w:p>
        </w:tc>
        <w:tc>
          <w:tcPr>
            <w:tcW w:w="1435" w:type="dxa"/>
            <w:tcBorders>
              <w:top w:val="nil"/>
              <w:left w:val="nil"/>
              <w:bottom w:val="double" w:sz="6" w:space="0" w:color="auto"/>
              <w:right w:val="single" w:sz="4" w:space="0" w:color="auto"/>
            </w:tcBorders>
            <w:shd w:val="clear" w:color="auto" w:fill="auto"/>
            <w:noWrap/>
            <w:vAlign w:val="bottom"/>
            <w:hideMark/>
          </w:tcPr>
          <w:p w14:paraId="7AB03975"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36,13</w:t>
            </w:r>
          </w:p>
        </w:tc>
        <w:tc>
          <w:tcPr>
            <w:tcW w:w="1533" w:type="dxa"/>
            <w:tcBorders>
              <w:top w:val="nil"/>
              <w:left w:val="nil"/>
              <w:bottom w:val="double" w:sz="6" w:space="0" w:color="auto"/>
              <w:right w:val="single" w:sz="4" w:space="0" w:color="auto"/>
            </w:tcBorders>
            <w:shd w:val="clear" w:color="auto" w:fill="auto"/>
            <w:noWrap/>
            <w:vAlign w:val="bottom"/>
            <w:hideMark/>
          </w:tcPr>
          <w:p w14:paraId="55992979" w14:textId="20DDB9EA" w:rsidR="005F20F6" w:rsidRPr="00F745AE" w:rsidRDefault="005F20F6" w:rsidP="005F20F6">
            <w:pPr>
              <w:overflowPunct/>
              <w:autoSpaceDE/>
              <w:autoSpaceDN/>
              <w:adjustRightInd/>
              <w:jc w:val="center"/>
              <w:textAlignment w:val="auto"/>
              <w:rPr>
                <w:rFonts w:ascii="Arial" w:hAnsi="Arial" w:cs="Arial"/>
                <w:b/>
                <w:bCs/>
                <w:color w:val="000000"/>
              </w:rPr>
            </w:pPr>
            <w:r w:rsidRPr="00F745AE">
              <w:rPr>
                <w:rFonts w:ascii="Arial" w:hAnsi="Arial" w:cs="Arial"/>
                <w:b/>
                <w:bCs/>
                <w:color w:val="000000"/>
              </w:rPr>
              <w:t>-0,4</w:t>
            </w:r>
            <w:r w:rsidR="00783819" w:rsidRPr="00F745AE">
              <w:rPr>
                <w:rFonts w:ascii="Arial" w:hAnsi="Arial" w:cs="Arial"/>
                <w:b/>
                <w:bCs/>
                <w:color w:val="000000"/>
              </w:rPr>
              <w:t>8</w:t>
            </w:r>
          </w:p>
        </w:tc>
        <w:tc>
          <w:tcPr>
            <w:tcW w:w="1658" w:type="dxa"/>
            <w:tcBorders>
              <w:top w:val="nil"/>
              <w:left w:val="nil"/>
              <w:bottom w:val="double" w:sz="6" w:space="0" w:color="auto"/>
              <w:right w:val="double" w:sz="6" w:space="0" w:color="auto"/>
            </w:tcBorders>
            <w:shd w:val="clear" w:color="auto" w:fill="auto"/>
            <w:noWrap/>
            <w:vAlign w:val="bottom"/>
            <w:hideMark/>
          </w:tcPr>
          <w:p w14:paraId="6FD8FD6B" w14:textId="77777777" w:rsidR="005F20F6" w:rsidRPr="00F745AE" w:rsidRDefault="005F20F6" w:rsidP="005F20F6">
            <w:pPr>
              <w:overflowPunct/>
              <w:autoSpaceDE/>
              <w:autoSpaceDN/>
              <w:adjustRightInd/>
              <w:jc w:val="center"/>
              <w:textAlignment w:val="auto"/>
              <w:rPr>
                <w:rFonts w:ascii="Arial" w:hAnsi="Arial" w:cs="Arial"/>
                <w:color w:val="000000"/>
              </w:rPr>
            </w:pPr>
            <w:r w:rsidRPr="00F745AE">
              <w:rPr>
                <w:rFonts w:ascii="Arial" w:hAnsi="Arial" w:cs="Arial"/>
                <w:color w:val="000000"/>
              </w:rPr>
              <w:t>3,57</w:t>
            </w:r>
          </w:p>
        </w:tc>
      </w:tr>
    </w:tbl>
    <w:p w14:paraId="4D653D2E" w14:textId="77777777" w:rsidR="00045A25" w:rsidRDefault="00045A25" w:rsidP="007C2DBF">
      <w:pPr>
        <w:overflowPunct/>
        <w:spacing w:line="276" w:lineRule="auto"/>
        <w:textAlignment w:val="auto"/>
        <w:rPr>
          <w:rFonts w:ascii="Arial" w:eastAsia="Calibri" w:hAnsi="Arial" w:cs="Arial"/>
          <w:sz w:val="24"/>
          <w:szCs w:val="24"/>
          <w:lang w:eastAsia="en-US"/>
        </w:rPr>
      </w:pPr>
    </w:p>
    <w:p w14:paraId="055399A9" w14:textId="7A189C0A" w:rsidR="006D6D7B" w:rsidRDefault="008D5F71" w:rsidP="007C2DBF">
      <w:pPr>
        <w:overflowPunct/>
        <w:spacing w:line="276" w:lineRule="auto"/>
        <w:jc w:val="both"/>
        <w:textAlignment w:val="auto"/>
        <w:rPr>
          <w:rFonts w:ascii="Arial" w:eastAsia="Calibri" w:hAnsi="Arial" w:cs="Arial"/>
          <w:sz w:val="24"/>
          <w:szCs w:val="24"/>
          <w:lang w:eastAsia="en-US"/>
        </w:rPr>
      </w:pPr>
      <w:r w:rsidRPr="008D5F71">
        <w:rPr>
          <w:rFonts w:ascii="Arial" w:eastAsia="Calibri" w:hAnsi="Arial" w:cs="Arial"/>
          <w:sz w:val="24"/>
          <w:szCs w:val="24"/>
          <w:lang w:eastAsia="en-US"/>
        </w:rPr>
        <w:t xml:space="preserve">d) Eine </w:t>
      </w:r>
      <w:r w:rsidRPr="007E34FF">
        <w:rPr>
          <w:rFonts w:ascii="Arial" w:eastAsia="Calibri" w:hAnsi="Arial" w:cs="Arial"/>
          <w:sz w:val="24"/>
          <w:szCs w:val="24"/>
          <w:lang w:eastAsia="en-US"/>
        </w:rPr>
        <w:t xml:space="preserve">Gegenüberstellung der Entwicklung des </w:t>
      </w:r>
      <w:bookmarkStart w:id="22" w:name="_Hlk89081702"/>
      <w:r w:rsidR="00D13195" w:rsidRPr="007E34FF">
        <w:rPr>
          <w:rFonts w:ascii="Arial" w:eastAsia="Calibri" w:hAnsi="Arial" w:cs="Arial"/>
          <w:sz w:val="24"/>
          <w:szCs w:val="24"/>
          <w:lang w:eastAsia="en-US"/>
        </w:rPr>
        <w:t>vom Amt für Statistik Berlin-Brandenburg</w:t>
      </w:r>
      <w:r w:rsidR="007E34FF" w:rsidRPr="007E34FF">
        <w:rPr>
          <w:rFonts w:ascii="Arial" w:eastAsia="Calibri" w:hAnsi="Arial" w:cs="Arial"/>
          <w:sz w:val="24"/>
          <w:szCs w:val="24"/>
          <w:lang w:eastAsia="en-US"/>
        </w:rPr>
        <w:t xml:space="preserve"> </w:t>
      </w:r>
      <w:r w:rsidR="00D13195" w:rsidRPr="007E34FF">
        <w:rPr>
          <w:rFonts w:ascii="Arial" w:eastAsia="Calibri" w:hAnsi="Arial" w:cs="Arial"/>
          <w:sz w:val="24"/>
          <w:szCs w:val="24"/>
          <w:lang w:eastAsia="en-US"/>
        </w:rPr>
        <w:t xml:space="preserve">veröffentlichten </w:t>
      </w:r>
      <w:r w:rsidRPr="007E34FF">
        <w:rPr>
          <w:rFonts w:ascii="Arial" w:eastAsia="Calibri" w:hAnsi="Arial" w:cs="Arial"/>
          <w:sz w:val="24"/>
          <w:szCs w:val="24"/>
          <w:lang w:eastAsia="en-US"/>
        </w:rPr>
        <w:t xml:space="preserve">Verbraucherpreisindex </w:t>
      </w:r>
      <w:bookmarkEnd w:id="22"/>
      <w:r w:rsidRPr="007E34FF">
        <w:rPr>
          <w:rFonts w:ascii="Arial" w:eastAsia="Calibri" w:hAnsi="Arial" w:cs="Arial"/>
          <w:sz w:val="24"/>
          <w:szCs w:val="24"/>
          <w:lang w:eastAsia="en-US"/>
        </w:rPr>
        <w:t>(</w:t>
      </w:r>
      <w:r w:rsidRPr="007E34FF">
        <w:rPr>
          <w:rFonts w:ascii="Arial" w:eastAsia="Calibri" w:hAnsi="Arial" w:cs="Arial"/>
          <w:b/>
          <w:bCs/>
          <w:sz w:val="24"/>
          <w:szCs w:val="24"/>
          <w:lang w:eastAsia="en-US"/>
        </w:rPr>
        <w:t>dritter Parameter</w:t>
      </w:r>
      <w:r w:rsidRPr="007E34FF">
        <w:rPr>
          <w:rFonts w:ascii="Arial" w:eastAsia="Calibri" w:hAnsi="Arial" w:cs="Arial"/>
          <w:sz w:val="24"/>
          <w:szCs w:val="24"/>
          <w:lang w:eastAsia="en-US"/>
        </w:rPr>
        <w:t xml:space="preserve">) und </w:t>
      </w:r>
      <w:r w:rsidRPr="008D5F71">
        <w:rPr>
          <w:rFonts w:ascii="Arial" w:eastAsia="Calibri" w:hAnsi="Arial" w:cs="Arial"/>
          <w:sz w:val="24"/>
          <w:szCs w:val="24"/>
          <w:lang w:eastAsia="en-US"/>
        </w:rPr>
        <w:t xml:space="preserve">der Besoldungsentwicklung zeigt, dass </w:t>
      </w:r>
      <w:r w:rsidR="00AD3D85">
        <w:rPr>
          <w:rFonts w:ascii="Arial" w:eastAsia="Calibri" w:hAnsi="Arial" w:cs="Arial"/>
          <w:sz w:val="24"/>
          <w:szCs w:val="24"/>
          <w:lang w:eastAsia="en-US"/>
        </w:rPr>
        <w:t xml:space="preserve">auch </w:t>
      </w:r>
      <w:r w:rsidRPr="008D5F71">
        <w:rPr>
          <w:rFonts w:ascii="Arial" w:eastAsia="Calibri" w:hAnsi="Arial" w:cs="Arial"/>
          <w:sz w:val="24"/>
          <w:szCs w:val="24"/>
          <w:lang w:eastAsia="en-US"/>
        </w:rPr>
        <w:t xml:space="preserve">die Entwicklung der Verbraucherpreise </w:t>
      </w:r>
      <w:r w:rsidR="00AD3D85">
        <w:rPr>
          <w:rFonts w:ascii="Arial" w:eastAsia="Calibri" w:hAnsi="Arial" w:cs="Arial"/>
          <w:sz w:val="24"/>
          <w:szCs w:val="24"/>
          <w:lang w:eastAsia="en-US"/>
        </w:rPr>
        <w:t>in</w:t>
      </w:r>
      <w:r w:rsidR="006D6D7B">
        <w:rPr>
          <w:rFonts w:ascii="Arial" w:eastAsia="Calibri" w:hAnsi="Arial" w:cs="Arial"/>
          <w:sz w:val="24"/>
          <w:szCs w:val="24"/>
          <w:lang w:eastAsia="en-US"/>
        </w:rPr>
        <w:t xml:space="preserve"> den Jahren 2016 und 2017 die Besoldungsentwicklung überschritt,</w:t>
      </w:r>
      <w:r w:rsidR="00AD3D85">
        <w:rPr>
          <w:rFonts w:ascii="Arial" w:eastAsia="Calibri" w:hAnsi="Arial" w:cs="Arial"/>
          <w:sz w:val="24"/>
          <w:szCs w:val="24"/>
          <w:lang w:eastAsia="en-US"/>
        </w:rPr>
        <w:t xml:space="preserve"> </w:t>
      </w:r>
      <w:r w:rsidR="006D6D7B">
        <w:rPr>
          <w:rFonts w:ascii="Arial" w:eastAsia="Calibri" w:hAnsi="Arial" w:cs="Arial"/>
          <w:sz w:val="24"/>
          <w:szCs w:val="24"/>
          <w:lang w:eastAsia="en-US"/>
        </w:rPr>
        <w:t xml:space="preserve">jedoch in keinem Jahr </w:t>
      </w:r>
      <w:r w:rsidR="00D238E7">
        <w:rPr>
          <w:rFonts w:ascii="Arial" w:eastAsia="Calibri" w:hAnsi="Arial" w:cs="Arial"/>
          <w:sz w:val="24"/>
          <w:szCs w:val="24"/>
          <w:lang w:eastAsia="en-US"/>
        </w:rPr>
        <w:t xml:space="preserve">um mehr als </w:t>
      </w:r>
      <w:r w:rsidR="006F4812">
        <w:rPr>
          <w:rFonts w:ascii="Arial" w:eastAsia="Calibri" w:hAnsi="Arial" w:cs="Arial"/>
          <w:sz w:val="24"/>
          <w:szCs w:val="24"/>
          <w:lang w:eastAsia="en-US"/>
        </w:rPr>
        <w:t>5</w:t>
      </w:r>
      <w:r w:rsidR="001A4790">
        <w:rPr>
          <w:rFonts w:ascii="Arial" w:eastAsia="Calibri" w:hAnsi="Arial" w:cs="Arial"/>
          <w:sz w:val="24"/>
          <w:szCs w:val="24"/>
          <w:lang w:eastAsia="en-US"/>
        </w:rPr>
        <w:t xml:space="preserve"> </w:t>
      </w:r>
      <w:r w:rsidR="00D238E7">
        <w:rPr>
          <w:rFonts w:ascii="Arial" w:eastAsia="Calibri" w:hAnsi="Arial" w:cs="Arial"/>
          <w:sz w:val="24"/>
          <w:szCs w:val="24"/>
          <w:lang w:eastAsia="en-US"/>
        </w:rPr>
        <w:t xml:space="preserve">% </w:t>
      </w:r>
      <w:r w:rsidRPr="008D5F71">
        <w:rPr>
          <w:rFonts w:ascii="Arial" w:eastAsia="Calibri" w:hAnsi="Arial" w:cs="Arial"/>
          <w:sz w:val="24"/>
          <w:szCs w:val="24"/>
          <w:lang w:eastAsia="en-US"/>
        </w:rPr>
        <w:t>über die Entwicklung der Besoldung hinausgegangen ist.</w:t>
      </w:r>
      <w:r w:rsidR="00A55247">
        <w:rPr>
          <w:rFonts w:ascii="Arial" w:eastAsia="Calibri" w:hAnsi="Arial" w:cs="Arial"/>
          <w:sz w:val="24"/>
          <w:szCs w:val="24"/>
          <w:lang w:eastAsia="en-US"/>
        </w:rPr>
        <w:t xml:space="preserve"> </w:t>
      </w:r>
      <w:r w:rsidR="006D6D7B">
        <w:rPr>
          <w:rFonts w:ascii="Arial" w:eastAsia="Calibri" w:hAnsi="Arial" w:cs="Arial"/>
          <w:sz w:val="24"/>
          <w:szCs w:val="24"/>
          <w:lang w:eastAsia="en-US"/>
        </w:rPr>
        <w:t xml:space="preserve">Geringfügige </w:t>
      </w:r>
      <w:r w:rsidR="006D6D7B" w:rsidRPr="007E34FF">
        <w:rPr>
          <w:rFonts w:ascii="Arial" w:eastAsia="Calibri" w:hAnsi="Arial" w:cs="Arial"/>
          <w:sz w:val="24"/>
          <w:szCs w:val="24"/>
          <w:lang w:eastAsia="en-US"/>
        </w:rPr>
        <w:t xml:space="preserve">Veränderungen einiger Werte </w:t>
      </w:r>
      <w:r w:rsidR="006D6D7B">
        <w:rPr>
          <w:rFonts w:ascii="Arial" w:eastAsia="Calibri" w:hAnsi="Arial" w:cs="Arial"/>
          <w:sz w:val="24"/>
          <w:szCs w:val="24"/>
          <w:lang w:eastAsia="en-US"/>
        </w:rPr>
        <w:t>im Vergleich zu den in der Entscheidung des B</w:t>
      </w:r>
      <w:r w:rsidR="0081062D">
        <w:rPr>
          <w:rFonts w:ascii="Arial" w:eastAsia="Calibri" w:hAnsi="Arial" w:cs="Arial"/>
          <w:sz w:val="24"/>
          <w:szCs w:val="24"/>
          <w:lang w:eastAsia="en-US"/>
        </w:rPr>
        <w:t>undesverfassungsgerichts</w:t>
      </w:r>
      <w:r w:rsidR="006D6D7B">
        <w:rPr>
          <w:rFonts w:ascii="Arial" w:eastAsia="Calibri" w:hAnsi="Arial" w:cs="Arial"/>
          <w:sz w:val="24"/>
          <w:szCs w:val="24"/>
          <w:lang w:eastAsia="en-US"/>
        </w:rPr>
        <w:t xml:space="preserve"> vom </w:t>
      </w:r>
      <w:r w:rsidR="000C395F">
        <w:rPr>
          <w:rFonts w:ascii="Arial" w:eastAsia="Calibri" w:hAnsi="Arial" w:cs="Arial"/>
          <w:sz w:val="24"/>
          <w:szCs w:val="24"/>
          <w:lang w:eastAsia="en-US"/>
        </w:rPr>
        <w:t>4</w:t>
      </w:r>
      <w:r w:rsidR="006D6D7B">
        <w:rPr>
          <w:rFonts w:ascii="Arial" w:eastAsia="Calibri" w:hAnsi="Arial" w:cs="Arial"/>
          <w:sz w:val="24"/>
          <w:szCs w:val="24"/>
          <w:lang w:eastAsia="en-US"/>
        </w:rPr>
        <w:t xml:space="preserve">. Mai 2020 wiedergegebenen Angaben </w:t>
      </w:r>
      <w:r w:rsidR="006D6D7B" w:rsidRPr="007E34FF">
        <w:rPr>
          <w:rFonts w:ascii="Arial" w:eastAsia="Calibri" w:hAnsi="Arial" w:cs="Arial"/>
          <w:sz w:val="24"/>
          <w:szCs w:val="24"/>
          <w:lang w:eastAsia="en-US"/>
        </w:rPr>
        <w:t>sind auch hier auf methodische Verbesserungen zurückzuführen</w:t>
      </w:r>
      <w:r w:rsidR="006D6D7B">
        <w:rPr>
          <w:rFonts w:ascii="Arial" w:eastAsia="Calibri" w:hAnsi="Arial" w:cs="Arial"/>
          <w:sz w:val="24"/>
          <w:szCs w:val="24"/>
          <w:lang w:eastAsia="en-US"/>
        </w:rPr>
        <w:t xml:space="preserve"> </w:t>
      </w:r>
      <w:r w:rsidR="006D6D7B" w:rsidRPr="007E34FF">
        <w:rPr>
          <w:rFonts w:ascii="Arial" w:eastAsia="Calibri" w:hAnsi="Arial" w:cs="Arial"/>
          <w:sz w:val="24"/>
          <w:szCs w:val="24"/>
          <w:lang w:eastAsia="en-US"/>
        </w:rPr>
        <w:t>(Statistischer Bericht M I 2 – m 03/21 -, S</w:t>
      </w:r>
      <w:r w:rsidR="000C395F">
        <w:rPr>
          <w:rFonts w:ascii="Arial" w:eastAsia="Calibri" w:hAnsi="Arial" w:cs="Arial"/>
          <w:sz w:val="24"/>
          <w:szCs w:val="24"/>
          <w:lang w:eastAsia="en-US"/>
        </w:rPr>
        <w:t>.</w:t>
      </w:r>
      <w:r w:rsidR="006D6D7B" w:rsidRPr="007E34FF">
        <w:rPr>
          <w:rFonts w:ascii="Arial" w:eastAsia="Calibri" w:hAnsi="Arial" w:cs="Arial"/>
          <w:sz w:val="24"/>
          <w:szCs w:val="24"/>
          <w:lang w:eastAsia="en-US"/>
        </w:rPr>
        <w:t xml:space="preserve"> 14</w:t>
      </w:r>
      <w:r w:rsidR="006D6D7B">
        <w:rPr>
          <w:rFonts w:ascii="Arial" w:eastAsia="Calibri" w:hAnsi="Arial" w:cs="Arial"/>
          <w:sz w:val="24"/>
          <w:szCs w:val="24"/>
          <w:lang w:eastAsia="en-US"/>
        </w:rPr>
        <w:t>).</w:t>
      </w:r>
    </w:p>
    <w:p w14:paraId="59E8F4C1" w14:textId="60F8C65B" w:rsidR="000F313F" w:rsidRDefault="000F313F" w:rsidP="007C2DBF">
      <w:pPr>
        <w:overflowPunct/>
        <w:spacing w:line="276" w:lineRule="auto"/>
        <w:ind w:left="1416"/>
        <w:textAlignment w:val="auto"/>
        <w:rPr>
          <w:rFonts w:ascii="Arial" w:eastAsia="Calibri" w:hAnsi="Arial" w:cs="Arial"/>
          <w:sz w:val="24"/>
          <w:szCs w:val="24"/>
          <w:lang w:eastAsia="en-US"/>
        </w:rPr>
      </w:pPr>
    </w:p>
    <w:tbl>
      <w:tblPr>
        <w:tblW w:w="7630" w:type="dxa"/>
        <w:tblInd w:w="801" w:type="dxa"/>
        <w:tblCellMar>
          <w:left w:w="70" w:type="dxa"/>
          <w:right w:w="70" w:type="dxa"/>
        </w:tblCellMar>
        <w:tblLook w:val="04A0" w:firstRow="1" w:lastRow="0" w:firstColumn="1" w:lastColumn="0" w:noHBand="0" w:noVBand="1"/>
      </w:tblPr>
      <w:tblGrid>
        <w:gridCol w:w="1480"/>
        <w:gridCol w:w="1510"/>
        <w:gridCol w:w="1440"/>
        <w:gridCol w:w="1540"/>
        <w:gridCol w:w="1660"/>
      </w:tblGrid>
      <w:tr w:rsidR="007417E6" w:rsidRPr="007417E6" w14:paraId="1C0E27B1" w14:textId="77777777" w:rsidTr="007417E6">
        <w:trPr>
          <w:trHeight w:val="300"/>
        </w:trPr>
        <w:tc>
          <w:tcPr>
            <w:tcW w:w="7630" w:type="dxa"/>
            <w:gridSpan w:val="5"/>
            <w:tcBorders>
              <w:top w:val="double" w:sz="6" w:space="0" w:color="auto"/>
              <w:left w:val="double" w:sz="6" w:space="0" w:color="auto"/>
              <w:bottom w:val="nil"/>
              <w:right w:val="double" w:sz="6" w:space="0" w:color="000000"/>
            </w:tcBorders>
            <w:shd w:val="clear" w:color="auto" w:fill="auto"/>
            <w:vAlign w:val="bottom"/>
            <w:hideMark/>
          </w:tcPr>
          <w:p w14:paraId="1D713BC1"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Besoldungsgruppe R 1</w:t>
            </w:r>
          </w:p>
        </w:tc>
      </w:tr>
      <w:tr w:rsidR="007417E6" w:rsidRPr="007417E6" w14:paraId="4DA798BC" w14:textId="77777777" w:rsidTr="007417E6">
        <w:trPr>
          <w:trHeight w:val="828"/>
        </w:trPr>
        <w:tc>
          <w:tcPr>
            <w:tcW w:w="14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6157D33" w14:textId="0534320F" w:rsidR="007417E6" w:rsidRPr="007417E6" w:rsidRDefault="007417E6" w:rsidP="007417E6">
            <w:pPr>
              <w:overflowPunct/>
              <w:autoSpaceDE/>
              <w:autoSpaceDN/>
              <w:adjustRightInd/>
              <w:jc w:val="center"/>
              <w:textAlignment w:val="auto"/>
              <w:rPr>
                <w:rFonts w:ascii="Arial" w:hAnsi="Arial" w:cs="Arial"/>
                <w:b/>
                <w:bCs/>
                <w:sz w:val="22"/>
                <w:szCs w:val="22"/>
              </w:rPr>
            </w:pP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61710DCE" w14:textId="5C64CBAF" w:rsidR="007417E6" w:rsidRPr="007C2DBF" w:rsidRDefault="00CF67C5"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w:t>
            </w:r>
            <w:r w:rsidR="007417E6" w:rsidRPr="007C2DBF">
              <w:rPr>
                <w:rFonts w:ascii="Arial" w:hAnsi="Arial" w:cs="Arial"/>
                <w:b/>
                <w:bCs/>
              </w:rPr>
              <w:t xml:space="preserve">Anstieg Verbraucher-preisindex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92B707A" w14:textId="1391D44D"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Anstieg der Besoldung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286CD97"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3. Parameter </w:t>
            </w:r>
          </w:p>
        </w:tc>
        <w:tc>
          <w:tcPr>
            <w:tcW w:w="1660" w:type="dxa"/>
            <w:tcBorders>
              <w:top w:val="single" w:sz="4" w:space="0" w:color="auto"/>
              <w:left w:val="nil"/>
              <w:bottom w:val="single" w:sz="4" w:space="0" w:color="auto"/>
              <w:right w:val="double" w:sz="6" w:space="0" w:color="auto"/>
            </w:tcBorders>
            <w:shd w:val="clear" w:color="auto" w:fill="auto"/>
            <w:vAlign w:val="center"/>
            <w:hideMark/>
          </w:tcPr>
          <w:p w14:paraId="2889E875" w14:textId="77777777" w:rsidR="007417E6" w:rsidRPr="007C2DBF" w:rsidRDefault="007417E6" w:rsidP="007417E6">
            <w:pPr>
              <w:overflowPunct/>
              <w:autoSpaceDE/>
              <w:autoSpaceDN/>
              <w:adjustRightInd/>
              <w:textAlignment w:val="auto"/>
              <w:rPr>
                <w:rFonts w:ascii="Arial" w:hAnsi="Arial" w:cs="Arial"/>
                <w:b/>
                <w:bCs/>
              </w:rPr>
            </w:pPr>
            <w:r w:rsidRPr="007C2DBF">
              <w:rPr>
                <w:rFonts w:ascii="Arial" w:hAnsi="Arial" w:cs="Arial"/>
                <w:b/>
                <w:bCs/>
              </w:rPr>
              <w:t>Staffelprüfung</w:t>
            </w:r>
          </w:p>
        </w:tc>
      </w:tr>
      <w:tr w:rsidR="007417E6" w:rsidRPr="007417E6" w14:paraId="2C410FAA" w14:textId="77777777" w:rsidTr="007417E6">
        <w:trPr>
          <w:trHeight w:val="288"/>
        </w:trPr>
        <w:tc>
          <w:tcPr>
            <w:tcW w:w="763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319B4209"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im 15-jährigen Betrachtungszeitraum (jeweils in %) </w:t>
            </w:r>
          </w:p>
        </w:tc>
      </w:tr>
      <w:tr w:rsidR="007417E6" w:rsidRPr="007417E6" w14:paraId="3F883347"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5702AFAB"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2016</w:t>
            </w:r>
          </w:p>
        </w:tc>
        <w:tc>
          <w:tcPr>
            <w:tcW w:w="1510" w:type="dxa"/>
            <w:tcBorders>
              <w:top w:val="nil"/>
              <w:left w:val="nil"/>
              <w:bottom w:val="nil"/>
              <w:right w:val="single" w:sz="4" w:space="0" w:color="auto"/>
            </w:tcBorders>
            <w:shd w:val="clear" w:color="auto" w:fill="auto"/>
            <w:noWrap/>
            <w:vAlign w:val="bottom"/>
            <w:hideMark/>
          </w:tcPr>
          <w:p w14:paraId="1D1A14D4" w14:textId="77777777" w:rsidR="007417E6" w:rsidRPr="00F774F7" w:rsidRDefault="007417E6" w:rsidP="007417E6">
            <w:pPr>
              <w:overflowPunct/>
              <w:autoSpaceDE/>
              <w:autoSpaceDN/>
              <w:adjustRightInd/>
              <w:jc w:val="center"/>
              <w:textAlignment w:val="auto"/>
              <w:rPr>
                <w:rFonts w:ascii="Arial" w:hAnsi="Arial" w:cs="Arial"/>
              </w:rPr>
            </w:pPr>
            <w:r w:rsidRPr="0024579F">
              <w:rPr>
                <w:rFonts w:ascii="Arial" w:hAnsi="Arial" w:cs="Arial"/>
              </w:rPr>
              <w:t>22,65</w:t>
            </w:r>
          </w:p>
        </w:tc>
        <w:tc>
          <w:tcPr>
            <w:tcW w:w="1440" w:type="dxa"/>
            <w:tcBorders>
              <w:top w:val="nil"/>
              <w:left w:val="nil"/>
              <w:bottom w:val="nil"/>
              <w:right w:val="single" w:sz="4" w:space="0" w:color="auto"/>
            </w:tcBorders>
            <w:shd w:val="clear" w:color="auto" w:fill="auto"/>
            <w:noWrap/>
            <w:vAlign w:val="bottom"/>
            <w:hideMark/>
          </w:tcPr>
          <w:p w14:paraId="0C9DDD77"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18,82</w:t>
            </w:r>
          </w:p>
        </w:tc>
        <w:tc>
          <w:tcPr>
            <w:tcW w:w="1540" w:type="dxa"/>
            <w:tcBorders>
              <w:top w:val="nil"/>
              <w:left w:val="nil"/>
              <w:bottom w:val="nil"/>
              <w:right w:val="single" w:sz="4" w:space="0" w:color="auto"/>
            </w:tcBorders>
            <w:shd w:val="clear" w:color="auto" w:fill="auto"/>
            <w:noWrap/>
            <w:vAlign w:val="bottom"/>
            <w:hideMark/>
          </w:tcPr>
          <w:p w14:paraId="1F45C68B"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3,23</w:t>
            </w:r>
          </w:p>
        </w:tc>
        <w:tc>
          <w:tcPr>
            <w:tcW w:w="1660" w:type="dxa"/>
            <w:tcBorders>
              <w:top w:val="nil"/>
              <w:left w:val="nil"/>
              <w:bottom w:val="nil"/>
              <w:right w:val="double" w:sz="6" w:space="0" w:color="auto"/>
            </w:tcBorders>
            <w:shd w:val="clear" w:color="auto" w:fill="auto"/>
            <w:noWrap/>
            <w:vAlign w:val="bottom"/>
            <w:hideMark/>
          </w:tcPr>
          <w:p w14:paraId="52DE91B2"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6,84</w:t>
            </w:r>
          </w:p>
        </w:tc>
      </w:tr>
      <w:tr w:rsidR="007417E6" w:rsidRPr="007417E6" w14:paraId="1508E938"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67240DEC"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2017</w:t>
            </w:r>
          </w:p>
        </w:tc>
        <w:tc>
          <w:tcPr>
            <w:tcW w:w="1510" w:type="dxa"/>
            <w:tcBorders>
              <w:top w:val="nil"/>
              <w:left w:val="nil"/>
              <w:bottom w:val="nil"/>
              <w:right w:val="single" w:sz="4" w:space="0" w:color="auto"/>
            </w:tcBorders>
            <w:shd w:val="clear" w:color="auto" w:fill="auto"/>
            <w:noWrap/>
            <w:vAlign w:val="bottom"/>
            <w:hideMark/>
          </w:tcPr>
          <w:p w14:paraId="6D36FC7C" w14:textId="77777777" w:rsidR="007417E6" w:rsidRPr="00F774F7" w:rsidRDefault="007417E6" w:rsidP="007417E6">
            <w:pPr>
              <w:overflowPunct/>
              <w:autoSpaceDE/>
              <w:autoSpaceDN/>
              <w:adjustRightInd/>
              <w:jc w:val="center"/>
              <w:textAlignment w:val="auto"/>
              <w:rPr>
                <w:rFonts w:ascii="Arial" w:hAnsi="Arial" w:cs="Arial"/>
              </w:rPr>
            </w:pPr>
            <w:r w:rsidRPr="0024579F">
              <w:rPr>
                <w:rFonts w:ascii="Arial" w:hAnsi="Arial" w:cs="Arial"/>
              </w:rPr>
              <w:t>22,89</w:t>
            </w:r>
          </w:p>
        </w:tc>
        <w:tc>
          <w:tcPr>
            <w:tcW w:w="1440" w:type="dxa"/>
            <w:tcBorders>
              <w:top w:val="nil"/>
              <w:left w:val="nil"/>
              <w:bottom w:val="nil"/>
              <w:right w:val="single" w:sz="4" w:space="0" w:color="auto"/>
            </w:tcBorders>
            <w:shd w:val="clear" w:color="auto" w:fill="auto"/>
            <w:noWrap/>
            <w:vAlign w:val="bottom"/>
            <w:hideMark/>
          </w:tcPr>
          <w:p w14:paraId="71811482"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19,54</w:t>
            </w:r>
          </w:p>
        </w:tc>
        <w:tc>
          <w:tcPr>
            <w:tcW w:w="1540" w:type="dxa"/>
            <w:tcBorders>
              <w:top w:val="nil"/>
              <w:left w:val="nil"/>
              <w:bottom w:val="nil"/>
              <w:right w:val="single" w:sz="4" w:space="0" w:color="auto"/>
            </w:tcBorders>
            <w:shd w:val="clear" w:color="auto" w:fill="auto"/>
            <w:noWrap/>
            <w:vAlign w:val="bottom"/>
            <w:hideMark/>
          </w:tcPr>
          <w:p w14:paraId="7FFCBBFB"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2,80</w:t>
            </w:r>
          </w:p>
        </w:tc>
        <w:tc>
          <w:tcPr>
            <w:tcW w:w="1660" w:type="dxa"/>
            <w:tcBorders>
              <w:top w:val="nil"/>
              <w:left w:val="nil"/>
              <w:bottom w:val="nil"/>
              <w:right w:val="double" w:sz="6" w:space="0" w:color="auto"/>
            </w:tcBorders>
            <w:shd w:val="clear" w:color="auto" w:fill="auto"/>
            <w:noWrap/>
            <w:vAlign w:val="bottom"/>
            <w:hideMark/>
          </w:tcPr>
          <w:p w14:paraId="1DC476A9"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6,94</w:t>
            </w:r>
          </w:p>
        </w:tc>
      </w:tr>
      <w:tr w:rsidR="007417E6" w:rsidRPr="007417E6" w14:paraId="72351AFB"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11E7C930"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2018</w:t>
            </w:r>
          </w:p>
        </w:tc>
        <w:tc>
          <w:tcPr>
            <w:tcW w:w="1510" w:type="dxa"/>
            <w:tcBorders>
              <w:top w:val="nil"/>
              <w:left w:val="nil"/>
              <w:bottom w:val="nil"/>
              <w:right w:val="single" w:sz="4" w:space="0" w:color="auto"/>
            </w:tcBorders>
            <w:shd w:val="clear" w:color="auto" w:fill="auto"/>
            <w:noWrap/>
            <w:vAlign w:val="bottom"/>
            <w:hideMark/>
          </w:tcPr>
          <w:p w14:paraId="041DE0A0"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24,61</w:t>
            </w:r>
          </w:p>
        </w:tc>
        <w:tc>
          <w:tcPr>
            <w:tcW w:w="1440" w:type="dxa"/>
            <w:tcBorders>
              <w:top w:val="nil"/>
              <w:left w:val="nil"/>
              <w:bottom w:val="nil"/>
              <w:right w:val="single" w:sz="4" w:space="0" w:color="auto"/>
            </w:tcBorders>
            <w:shd w:val="clear" w:color="auto" w:fill="auto"/>
            <w:noWrap/>
            <w:vAlign w:val="bottom"/>
            <w:hideMark/>
          </w:tcPr>
          <w:p w14:paraId="093F17B8"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27,74</w:t>
            </w:r>
          </w:p>
        </w:tc>
        <w:tc>
          <w:tcPr>
            <w:tcW w:w="1540" w:type="dxa"/>
            <w:tcBorders>
              <w:top w:val="nil"/>
              <w:left w:val="nil"/>
              <w:bottom w:val="nil"/>
              <w:right w:val="single" w:sz="4" w:space="0" w:color="auto"/>
            </w:tcBorders>
            <w:shd w:val="clear" w:color="auto" w:fill="auto"/>
            <w:noWrap/>
            <w:vAlign w:val="bottom"/>
            <w:hideMark/>
          </w:tcPr>
          <w:p w14:paraId="547DAD28"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-2,45</w:t>
            </w:r>
          </w:p>
        </w:tc>
        <w:tc>
          <w:tcPr>
            <w:tcW w:w="1660" w:type="dxa"/>
            <w:tcBorders>
              <w:top w:val="nil"/>
              <w:left w:val="nil"/>
              <w:bottom w:val="nil"/>
              <w:right w:val="double" w:sz="6" w:space="0" w:color="auto"/>
            </w:tcBorders>
            <w:shd w:val="clear" w:color="auto" w:fill="auto"/>
            <w:noWrap/>
            <w:vAlign w:val="bottom"/>
            <w:hideMark/>
          </w:tcPr>
          <w:p w14:paraId="7468C406"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8,43</w:t>
            </w:r>
          </w:p>
        </w:tc>
      </w:tr>
      <w:tr w:rsidR="007417E6" w:rsidRPr="007417E6" w14:paraId="705B6745"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7A58F24F"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2019</w:t>
            </w:r>
          </w:p>
        </w:tc>
        <w:tc>
          <w:tcPr>
            <w:tcW w:w="1510" w:type="dxa"/>
            <w:tcBorders>
              <w:top w:val="nil"/>
              <w:left w:val="nil"/>
              <w:bottom w:val="nil"/>
              <w:right w:val="single" w:sz="4" w:space="0" w:color="auto"/>
            </w:tcBorders>
            <w:shd w:val="clear" w:color="auto" w:fill="auto"/>
            <w:noWrap/>
            <w:vAlign w:val="bottom"/>
            <w:hideMark/>
          </w:tcPr>
          <w:p w14:paraId="4154CCE4"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23,75</w:t>
            </w:r>
          </w:p>
        </w:tc>
        <w:tc>
          <w:tcPr>
            <w:tcW w:w="1440" w:type="dxa"/>
            <w:tcBorders>
              <w:top w:val="nil"/>
              <w:left w:val="nil"/>
              <w:bottom w:val="nil"/>
              <w:right w:val="single" w:sz="4" w:space="0" w:color="auto"/>
            </w:tcBorders>
            <w:shd w:val="clear" w:color="auto" w:fill="auto"/>
            <w:noWrap/>
            <w:vAlign w:val="bottom"/>
            <w:hideMark/>
          </w:tcPr>
          <w:p w14:paraId="6D451AF8"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30,60</w:t>
            </w:r>
          </w:p>
        </w:tc>
        <w:tc>
          <w:tcPr>
            <w:tcW w:w="1540" w:type="dxa"/>
            <w:tcBorders>
              <w:top w:val="nil"/>
              <w:left w:val="nil"/>
              <w:bottom w:val="nil"/>
              <w:right w:val="single" w:sz="4" w:space="0" w:color="auto"/>
            </w:tcBorders>
            <w:shd w:val="clear" w:color="auto" w:fill="auto"/>
            <w:noWrap/>
            <w:vAlign w:val="bottom"/>
            <w:hideMark/>
          </w:tcPr>
          <w:p w14:paraId="0F289BA0"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-5,25</w:t>
            </w:r>
          </w:p>
        </w:tc>
        <w:tc>
          <w:tcPr>
            <w:tcW w:w="1660" w:type="dxa"/>
            <w:tcBorders>
              <w:top w:val="nil"/>
              <w:left w:val="nil"/>
              <w:bottom w:val="nil"/>
              <w:right w:val="double" w:sz="6" w:space="0" w:color="auto"/>
            </w:tcBorders>
            <w:shd w:val="clear" w:color="auto" w:fill="auto"/>
            <w:noWrap/>
            <w:vAlign w:val="bottom"/>
            <w:hideMark/>
          </w:tcPr>
          <w:p w14:paraId="23E70299"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9,08</w:t>
            </w:r>
          </w:p>
        </w:tc>
      </w:tr>
      <w:tr w:rsidR="007417E6" w:rsidRPr="007417E6" w14:paraId="77F00759" w14:textId="77777777" w:rsidTr="004E79B9">
        <w:trPr>
          <w:trHeight w:val="300"/>
        </w:trPr>
        <w:tc>
          <w:tcPr>
            <w:tcW w:w="1480"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7D95AB0A"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2020</w:t>
            </w:r>
          </w:p>
        </w:tc>
        <w:tc>
          <w:tcPr>
            <w:tcW w:w="1510" w:type="dxa"/>
            <w:tcBorders>
              <w:top w:val="nil"/>
              <w:left w:val="nil"/>
              <w:bottom w:val="double" w:sz="6" w:space="0" w:color="auto"/>
              <w:right w:val="single" w:sz="4" w:space="0" w:color="auto"/>
            </w:tcBorders>
            <w:shd w:val="clear" w:color="auto" w:fill="auto"/>
            <w:noWrap/>
            <w:vAlign w:val="bottom"/>
            <w:hideMark/>
          </w:tcPr>
          <w:p w14:paraId="71CF8AE7"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22,65</w:t>
            </w:r>
          </w:p>
        </w:tc>
        <w:tc>
          <w:tcPr>
            <w:tcW w:w="1440" w:type="dxa"/>
            <w:tcBorders>
              <w:top w:val="nil"/>
              <w:left w:val="nil"/>
              <w:bottom w:val="double" w:sz="6" w:space="0" w:color="auto"/>
              <w:right w:val="single" w:sz="4" w:space="0" w:color="auto"/>
            </w:tcBorders>
            <w:shd w:val="clear" w:color="auto" w:fill="auto"/>
            <w:noWrap/>
            <w:vAlign w:val="bottom"/>
            <w:hideMark/>
          </w:tcPr>
          <w:p w14:paraId="4210ABE4"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36,22</w:t>
            </w:r>
          </w:p>
        </w:tc>
        <w:tc>
          <w:tcPr>
            <w:tcW w:w="1540" w:type="dxa"/>
            <w:tcBorders>
              <w:top w:val="nil"/>
              <w:left w:val="nil"/>
              <w:bottom w:val="double" w:sz="6" w:space="0" w:color="auto"/>
              <w:right w:val="single" w:sz="4" w:space="0" w:color="auto"/>
            </w:tcBorders>
            <w:shd w:val="clear" w:color="auto" w:fill="auto"/>
            <w:noWrap/>
            <w:vAlign w:val="bottom"/>
            <w:hideMark/>
          </w:tcPr>
          <w:p w14:paraId="149F19EE"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-9,96</w:t>
            </w:r>
          </w:p>
        </w:tc>
        <w:tc>
          <w:tcPr>
            <w:tcW w:w="1660" w:type="dxa"/>
            <w:tcBorders>
              <w:top w:val="nil"/>
              <w:left w:val="nil"/>
              <w:bottom w:val="double" w:sz="6" w:space="0" w:color="auto"/>
              <w:right w:val="double" w:sz="6" w:space="0" w:color="auto"/>
            </w:tcBorders>
            <w:shd w:val="clear" w:color="auto" w:fill="auto"/>
            <w:noWrap/>
            <w:vAlign w:val="bottom"/>
            <w:hideMark/>
          </w:tcPr>
          <w:p w14:paraId="36B2799B"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4,45</w:t>
            </w:r>
          </w:p>
        </w:tc>
      </w:tr>
      <w:tr w:rsidR="007417E6" w:rsidRPr="007417E6" w14:paraId="524D4BC5" w14:textId="77777777" w:rsidTr="007417E6">
        <w:trPr>
          <w:trHeight w:val="312"/>
        </w:trPr>
        <w:tc>
          <w:tcPr>
            <w:tcW w:w="1480" w:type="dxa"/>
            <w:tcBorders>
              <w:top w:val="nil"/>
              <w:left w:val="nil"/>
              <w:bottom w:val="nil"/>
              <w:right w:val="nil"/>
            </w:tcBorders>
            <w:shd w:val="clear" w:color="auto" w:fill="auto"/>
            <w:noWrap/>
            <w:vAlign w:val="bottom"/>
            <w:hideMark/>
          </w:tcPr>
          <w:p w14:paraId="4E56CB94" w14:textId="77777777" w:rsidR="007417E6" w:rsidRPr="007417E6" w:rsidRDefault="007417E6" w:rsidP="007417E6">
            <w:pPr>
              <w:overflowPunct/>
              <w:autoSpaceDE/>
              <w:autoSpaceDN/>
              <w:adjustRightInd/>
              <w:jc w:val="center"/>
              <w:textAlignment w:val="auto"/>
              <w:rPr>
                <w:rFonts w:ascii="Arial" w:hAnsi="Arial" w:cs="Arial"/>
                <w:sz w:val="22"/>
                <w:szCs w:val="22"/>
              </w:rPr>
            </w:pPr>
          </w:p>
        </w:tc>
        <w:tc>
          <w:tcPr>
            <w:tcW w:w="1510" w:type="dxa"/>
            <w:tcBorders>
              <w:top w:val="nil"/>
              <w:left w:val="nil"/>
              <w:bottom w:val="nil"/>
              <w:right w:val="nil"/>
            </w:tcBorders>
            <w:shd w:val="clear" w:color="auto" w:fill="auto"/>
            <w:noWrap/>
            <w:vAlign w:val="bottom"/>
            <w:hideMark/>
          </w:tcPr>
          <w:p w14:paraId="72CCDC7B" w14:textId="77777777" w:rsidR="007417E6" w:rsidRPr="007417E6" w:rsidRDefault="007417E6" w:rsidP="007417E6">
            <w:pPr>
              <w:overflowPunct/>
              <w:autoSpaceDE/>
              <w:autoSpaceDN/>
              <w:adjustRightInd/>
              <w:jc w:val="center"/>
              <w:textAlignment w:val="auto"/>
            </w:pPr>
          </w:p>
        </w:tc>
        <w:tc>
          <w:tcPr>
            <w:tcW w:w="1440" w:type="dxa"/>
            <w:tcBorders>
              <w:top w:val="nil"/>
              <w:left w:val="nil"/>
              <w:bottom w:val="nil"/>
              <w:right w:val="nil"/>
            </w:tcBorders>
            <w:shd w:val="clear" w:color="auto" w:fill="auto"/>
            <w:noWrap/>
            <w:vAlign w:val="bottom"/>
            <w:hideMark/>
          </w:tcPr>
          <w:p w14:paraId="403E0FC5" w14:textId="77777777" w:rsidR="007417E6" w:rsidRDefault="007417E6" w:rsidP="007417E6">
            <w:pPr>
              <w:overflowPunct/>
              <w:autoSpaceDE/>
              <w:autoSpaceDN/>
              <w:adjustRightInd/>
              <w:jc w:val="center"/>
              <w:textAlignment w:val="auto"/>
            </w:pPr>
          </w:p>
          <w:p w14:paraId="4CB1561A" w14:textId="77777777" w:rsidR="00A11E58" w:rsidRDefault="00A11E58" w:rsidP="007417E6">
            <w:pPr>
              <w:overflowPunct/>
              <w:autoSpaceDE/>
              <w:autoSpaceDN/>
              <w:adjustRightInd/>
              <w:jc w:val="center"/>
              <w:textAlignment w:val="auto"/>
            </w:pPr>
          </w:p>
          <w:p w14:paraId="39DFEF97" w14:textId="77777777" w:rsidR="00A11E58" w:rsidRDefault="00A11E58" w:rsidP="007417E6">
            <w:pPr>
              <w:overflowPunct/>
              <w:autoSpaceDE/>
              <w:autoSpaceDN/>
              <w:adjustRightInd/>
              <w:jc w:val="center"/>
              <w:textAlignment w:val="auto"/>
            </w:pPr>
          </w:p>
          <w:p w14:paraId="38335438" w14:textId="4A40FABD" w:rsidR="00A11E58" w:rsidRPr="007417E6" w:rsidRDefault="00A11E58" w:rsidP="007417E6">
            <w:pPr>
              <w:overflowPunct/>
              <w:autoSpaceDE/>
              <w:autoSpaceDN/>
              <w:adjustRightInd/>
              <w:jc w:val="center"/>
              <w:textAlignment w:val="auto"/>
            </w:pPr>
          </w:p>
        </w:tc>
        <w:tc>
          <w:tcPr>
            <w:tcW w:w="1540" w:type="dxa"/>
            <w:tcBorders>
              <w:top w:val="nil"/>
              <w:left w:val="nil"/>
              <w:bottom w:val="nil"/>
              <w:right w:val="nil"/>
            </w:tcBorders>
            <w:shd w:val="clear" w:color="auto" w:fill="auto"/>
            <w:noWrap/>
            <w:vAlign w:val="bottom"/>
            <w:hideMark/>
          </w:tcPr>
          <w:p w14:paraId="2432B3CC" w14:textId="77777777" w:rsidR="007417E6" w:rsidRPr="007417E6" w:rsidRDefault="007417E6" w:rsidP="007417E6">
            <w:pPr>
              <w:overflowPunct/>
              <w:autoSpaceDE/>
              <w:autoSpaceDN/>
              <w:adjustRightInd/>
              <w:textAlignment w:val="auto"/>
            </w:pPr>
          </w:p>
        </w:tc>
        <w:tc>
          <w:tcPr>
            <w:tcW w:w="1660" w:type="dxa"/>
            <w:tcBorders>
              <w:top w:val="nil"/>
              <w:left w:val="nil"/>
              <w:bottom w:val="nil"/>
              <w:right w:val="nil"/>
            </w:tcBorders>
            <w:shd w:val="clear" w:color="auto" w:fill="auto"/>
            <w:noWrap/>
            <w:vAlign w:val="bottom"/>
            <w:hideMark/>
          </w:tcPr>
          <w:p w14:paraId="48286F94" w14:textId="77777777" w:rsidR="007417E6" w:rsidRPr="007417E6" w:rsidRDefault="007417E6" w:rsidP="007417E6">
            <w:pPr>
              <w:overflowPunct/>
              <w:autoSpaceDE/>
              <w:autoSpaceDN/>
              <w:adjustRightInd/>
              <w:textAlignment w:val="auto"/>
            </w:pPr>
          </w:p>
        </w:tc>
      </w:tr>
      <w:tr w:rsidR="007417E6" w:rsidRPr="007417E6" w14:paraId="66A43938" w14:textId="77777777" w:rsidTr="007417E6">
        <w:trPr>
          <w:trHeight w:val="300"/>
        </w:trPr>
        <w:tc>
          <w:tcPr>
            <w:tcW w:w="7630" w:type="dxa"/>
            <w:gridSpan w:val="5"/>
            <w:tcBorders>
              <w:top w:val="double" w:sz="6" w:space="0" w:color="auto"/>
              <w:left w:val="double" w:sz="6" w:space="0" w:color="auto"/>
              <w:bottom w:val="nil"/>
              <w:right w:val="double" w:sz="6" w:space="0" w:color="000000"/>
            </w:tcBorders>
            <w:shd w:val="clear" w:color="auto" w:fill="auto"/>
            <w:vAlign w:val="bottom"/>
            <w:hideMark/>
          </w:tcPr>
          <w:p w14:paraId="7A609795"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Besoldungsgruppe R 2</w:t>
            </w:r>
          </w:p>
        </w:tc>
      </w:tr>
      <w:tr w:rsidR="007417E6" w:rsidRPr="007417E6" w14:paraId="18D978BC" w14:textId="77777777" w:rsidTr="007417E6">
        <w:trPr>
          <w:trHeight w:val="828"/>
        </w:trPr>
        <w:tc>
          <w:tcPr>
            <w:tcW w:w="14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534108E" w14:textId="3E7120D2" w:rsidR="007417E6" w:rsidRPr="007417E6" w:rsidRDefault="007417E6" w:rsidP="007417E6">
            <w:pPr>
              <w:overflowPunct/>
              <w:autoSpaceDE/>
              <w:autoSpaceDN/>
              <w:adjustRightInd/>
              <w:jc w:val="center"/>
              <w:textAlignment w:val="auto"/>
              <w:rPr>
                <w:rFonts w:ascii="Arial" w:hAnsi="Arial" w:cs="Arial"/>
                <w:b/>
                <w:bCs/>
                <w:sz w:val="22"/>
                <w:szCs w:val="22"/>
              </w:rPr>
            </w:pP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796BF10C" w14:textId="0BD33EC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Anstieg Verbraucher-preisindex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D0B54EB" w14:textId="5C8A4891"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Anstieg der Besoldung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6C58313"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3. Parameter </w:t>
            </w:r>
          </w:p>
        </w:tc>
        <w:tc>
          <w:tcPr>
            <w:tcW w:w="1660" w:type="dxa"/>
            <w:tcBorders>
              <w:top w:val="single" w:sz="4" w:space="0" w:color="auto"/>
              <w:left w:val="nil"/>
              <w:bottom w:val="single" w:sz="4" w:space="0" w:color="auto"/>
              <w:right w:val="double" w:sz="6" w:space="0" w:color="auto"/>
            </w:tcBorders>
            <w:shd w:val="clear" w:color="auto" w:fill="auto"/>
            <w:vAlign w:val="center"/>
            <w:hideMark/>
          </w:tcPr>
          <w:p w14:paraId="12426997" w14:textId="77777777" w:rsidR="007417E6" w:rsidRPr="007C2DBF" w:rsidRDefault="007417E6" w:rsidP="007417E6">
            <w:pPr>
              <w:overflowPunct/>
              <w:autoSpaceDE/>
              <w:autoSpaceDN/>
              <w:adjustRightInd/>
              <w:textAlignment w:val="auto"/>
              <w:rPr>
                <w:rFonts w:ascii="Arial" w:hAnsi="Arial" w:cs="Arial"/>
                <w:b/>
                <w:bCs/>
              </w:rPr>
            </w:pPr>
            <w:r w:rsidRPr="007C2DBF">
              <w:rPr>
                <w:rFonts w:ascii="Arial" w:hAnsi="Arial" w:cs="Arial"/>
                <w:b/>
                <w:bCs/>
              </w:rPr>
              <w:t>Staffelprüfung</w:t>
            </w:r>
          </w:p>
        </w:tc>
      </w:tr>
      <w:tr w:rsidR="007417E6" w:rsidRPr="007417E6" w14:paraId="2460427D" w14:textId="77777777" w:rsidTr="007417E6">
        <w:trPr>
          <w:trHeight w:val="288"/>
        </w:trPr>
        <w:tc>
          <w:tcPr>
            <w:tcW w:w="7630"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69F98495"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 xml:space="preserve"> im 15-jährigen Betrachtungszeitraum (jeweils in %) </w:t>
            </w:r>
          </w:p>
        </w:tc>
      </w:tr>
      <w:tr w:rsidR="007417E6" w:rsidRPr="007417E6" w14:paraId="474814CC"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1BE380A4"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2016</w:t>
            </w:r>
          </w:p>
        </w:tc>
        <w:tc>
          <w:tcPr>
            <w:tcW w:w="1510" w:type="dxa"/>
            <w:tcBorders>
              <w:top w:val="nil"/>
              <w:left w:val="nil"/>
              <w:bottom w:val="nil"/>
              <w:right w:val="single" w:sz="4" w:space="0" w:color="auto"/>
            </w:tcBorders>
            <w:shd w:val="clear" w:color="auto" w:fill="auto"/>
            <w:noWrap/>
            <w:vAlign w:val="bottom"/>
            <w:hideMark/>
          </w:tcPr>
          <w:p w14:paraId="01CAD525" w14:textId="77777777" w:rsidR="007417E6" w:rsidRPr="00F774F7" w:rsidRDefault="007417E6" w:rsidP="007417E6">
            <w:pPr>
              <w:overflowPunct/>
              <w:autoSpaceDE/>
              <w:autoSpaceDN/>
              <w:adjustRightInd/>
              <w:jc w:val="center"/>
              <w:textAlignment w:val="auto"/>
              <w:rPr>
                <w:rFonts w:ascii="Arial" w:hAnsi="Arial" w:cs="Arial"/>
              </w:rPr>
            </w:pPr>
            <w:r w:rsidRPr="0024579F">
              <w:rPr>
                <w:rFonts w:ascii="Arial" w:hAnsi="Arial" w:cs="Arial"/>
              </w:rPr>
              <w:t>22,65</w:t>
            </w:r>
          </w:p>
        </w:tc>
        <w:tc>
          <w:tcPr>
            <w:tcW w:w="1440" w:type="dxa"/>
            <w:tcBorders>
              <w:top w:val="nil"/>
              <w:left w:val="nil"/>
              <w:bottom w:val="nil"/>
              <w:right w:val="single" w:sz="4" w:space="0" w:color="auto"/>
            </w:tcBorders>
            <w:shd w:val="clear" w:color="auto" w:fill="auto"/>
            <w:noWrap/>
            <w:vAlign w:val="bottom"/>
            <w:hideMark/>
          </w:tcPr>
          <w:p w14:paraId="5D5F9D71"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18,68</w:t>
            </w:r>
          </w:p>
        </w:tc>
        <w:tc>
          <w:tcPr>
            <w:tcW w:w="1540" w:type="dxa"/>
            <w:tcBorders>
              <w:top w:val="nil"/>
              <w:left w:val="nil"/>
              <w:bottom w:val="nil"/>
              <w:right w:val="single" w:sz="4" w:space="0" w:color="auto"/>
            </w:tcBorders>
            <w:shd w:val="clear" w:color="auto" w:fill="auto"/>
            <w:noWrap/>
            <w:vAlign w:val="bottom"/>
            <w:hideMark/>
          </w:tcPr>
          <w:p w14:paraId="3827F050"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3,34</w:t>
            </w:r>
          </w:p>
        </w:tc>
        <w:tc>
          <w:tcPr>
            <w:tcW w:w="1660" w:type="dxa"/>
            <w:tcBorders>
              <w:top w:val="nil"/>
              <w:left w:val="nil"/>
              <w:bottom w:val="nil"/>
              <w:right w:val="double" w:sz="6" w:space="0" w:color="auto"/>
            </w:tcBorders>
            <w:shd w:val="clear" w:color="auto" w:fill="auto"/>
            <w:noWrap/>
            <w:vAlign w:val="bottom"/>
            <w:hideMark/>
          </w:tcPr>
          <w:p w14:paraId="6F3B0BFE"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6,96</w:t>
            </w:r>
          </w:p>
        </w:tc>
      </w:tr>
      <w:tr w:rsidR="007417E6" w:rsidRPr="007417E6" w14:paraId="245F7BF1"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3352A3F6"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2017</w:t>
            </w:r>
          </w:p>
        </w:tc>
        <w:tc>
          <w:tcPr>
            <w:tcW w:w="1510" w:type="dxa"/>
            <w:tcBorders>
              <w:top w:val="nil"/>
              <w:left w:val="nil"/>
              <w:bottom w:val="nil"/>
              <w:right w:val="single" w:sz="4" w:space="0" w:color="auto"/>
            </w:tcBorders>
            <w:shd w:val="clear" w:color="auto" w:fill="auto"/>
            <w:noWrap/>
            <w:vAlign w:val="bottom"/>
            <w:hideMark/>
          </w:tcPr>
          <w:p w14:paraId="0468E3A5" w14:textId="77777777" w:rsidR="007417E6" w:rsidRPr="00F774F7" w:rsidRDefault="007417E6" w:rsidP="007417E6">
            <w:pPr>
              <w:overflowPunct/>
              <w:autoSpaceDE/>
              <w:autoSpaceDN/>
              <w:adjustRightInd/>
              <w:jc w:val="center"/>
              <w:textAlignment w:val="auto"/>
              <w:rPr>
                <w:rFonts w:ascii="Arial" w:hAnsi="Arial" w:cs="Arial"/>
              </w:rPr>
            </w:pPr>
            <w:r w:rsidRPr="0024579F">
              <w:rPr>
                <w:rFonts w:ascii="Arial" w:hAnsi="Arial" w:cs="Arial"/>
              </w:rPr>
              <w:t>22,89</w:t>
            </w:r>
          </w:p>
        </w:tc>
        <w:tc>
          <w:tcPr>
            <w:tcW w:w="1440" w:type="dxa"/>
            <w:tcBorders>
              <w:top w:val="nil"/>
              <w:left w:val="nil"/>
              <w:bottom w:val="nil"/>
              <w:right w:val="single" w:sz="4" w:space="0" w:color="auto"/>
            </w:tcBorders>
            <w:shd w:val="clear" w:color="auto" w:fill="auto"/>
            <w:noWrap/>
            <w:vAlign w:val="bottom"/>
            <w:hideMark/>
          </w:tcPr>
          <w:p w14:paraId="46F1EB29"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19,37</w:t>
            </w:r>
          </w:p>
        </w:tc>
        <w:tc>
          <w:tcPr>
            <w:tcW w:w="1540" w:type="dxa"/>
            <w:tcBorders>
              <w:top w:val="nil"/>
              <w:left w:val="nil"/>
              <w:bottom w:val="nil"/>
              <w:right w:val="single" w:sz="4" w:space="0" w:color="auto"/>
            </w:tcBorders>
            <w:shd w:val="clear" w:color="auto" w:fill="auto"/>
            <w:noWrap/>
            <w:vAlign w:val="bottom"/>
            <w:hideMark/>
          </w:tcPr>
          <w:p w14:paraId="49D762E7"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2,95</w:t>
            </w:r>
          </w:p>
        </w:tc>
        <w:tc>
          <w:tcPr>
            <w:tcW w:w="1660" w:type="dxa"/>
            <w:tcBorders>
              <w:top w:val="nil"/>
              <w:left w:val="nil"/>
              <w:bottom w:val="nil"/>
              <w:right w:val="double" w:sz="6" w:space="0" w:color="auto"/>
            </w:tcBorders>
            <w:shd w:val="clear" w:color="auto" w:fill="auto"/>
            <w:noWrap/>
            <w:vAlign w:val="bottom"/>
            <w:hideMark/>
          </w:tcPr>
          <w:p w14:paraId="66FA1E0B"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7,06</w:t>
            </w:r>
          </w:p>
        </w:tc>
      </w:tr>
      <w:tr w:rsidR="007417E6" w:rsidRPr="007417E6" w14:paraId="00F947B7"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7E228E42"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2018</w:t>
            </w:r>
          </w:p>
        </w:tc>
        <w:tc>
          <w:tcPr>
            <w:tcW w:w="1510" w:type="dxa"/>
            <w:tcBorders>
              <w:top w:val="nil"/>
              <w:left w:val="nil"/>
              <w:bottom w:val="nil"/>
              <w:right w:val="single" w:sz="4" w:space="0" w:color="auto"/>
            </w:tcBorders>
            <w:shd w:val="clear" w:color="auto" w:fill="auto"/>
            <w:noWrap/>
            <w:vAlign w:val="bottom"/>
            <w:hideMark/>
          </w:tcPr>
          <w:p w14:paraId="0EB885A5"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24,61</w:t>
            </w:r>
          </w:p>
        </w:tc>
        <w:tc>
          <w:tcPr>
            <w:tcW w:w="1440" w:type="dxa"/>
            <w:tcBorders>
              <w:top w:val="nil"/>
              <w:left w:val="nil"/>
              <w:bottom w:val="nil"/>
              <w:right w:val="single" w:sz="4" w:space="0" w:color="auto"/>
            </w:tcBorders>
            <w:shd w:val="clear" w:color="auto" w:fill="auto"/>
            <w:noWrap/>
            <w:vAlign w:val="bottom"/>
            <w:hideMark/>
          </w:tcPr>
          <w:p w14:paraId="57EBD498"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27,65</w:t>
            </w:r>
          </w:p>
        </w:tc>
        <w:tc>
          <w:tcPr>
            <w:tcW w:w="1540" w:type="dxa"/>
            <w:tcBorders>
              <w:top w:val="nil"/>
              <w:left w:val="nil"/>
              <w:bottom w:val="nil"/>
              <w:right w:val="single" w:sz="4" w:space="0" w:color="auto"/>
            </w:tcBorders>
            <w:shd w:val="clear" w:color="auto" w:fill="auto"/>
            <w:noWrap/>
            <w:vAlign w:val="bottom"/>
            <w:hideMark/>
          </w:tcPr>
          <w:p w14:paraId="0D47BA44"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-2,38</w:t>
            </w:r>
          </w:p>
        </w:tc>
        <w:tc>
          <w:tcPr>
            <w:tcW w:w="1660" w:type="dxa"/>
            <w:tcBorders>
              <w:top w:val="nil"/>
              <w:left w:val="nil"/>
              <w:bottom w:val="nil"/>
              <w:right w:val="double" w:sz="6" w:space="0" w:color="auto"/>
            </w:tcBorders>
            <w:shd w:val="clear" w:color="auto" w:fill="auto"/>
            <w:noWrap/>
            <w:vAlign w:val="bottom"/>
            <w:hideMark/>
          </w:tcPr>
          <w:p w14:paraId="13C17D86"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8,55</w:t>
            </w:r>
          </w:p>
        </w:tc>
      </w:tr>
      <w:tr w:rsidR="007417E6" w:rsidRPr="007417E6" w14:paraId="592F82F1" w14:textId="77777777" w:rsidTr="004E79B9">
        <w:trPr>
          <w:trHeight w:val="288"/>
        </w:trPr>
        <w:tc>
          <w:tcPr>
            <w:tcW w:w="1480" w:type="dxa"/>
            <w:tcBorders>
              <w:top w:val="nil"/>
              <w:left w:val="double" w:sz="6" w:space="0" w:color="auto"/>
              <w:bottom w:val="nil"/>
              <w:right w:val="single" w:sz="4" w:space="0" w:color="auto"/>
            </w:tcBorders>
            <w:shd w:val="clear" w:color="auto" w:fill="D9D9D9" w:themeFill="background1" w:themeFillShade="D9"/>
            <w:noWrap/>
            <w:vAlign w:val="bottom"/>
            <w:hideMark/>
          </w:tcPr>
          <w:p w14:paraId="7640D646"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2019</w:t>
            </w:r>
          </w:p>
        </w:tc>
        <w:tc>
          <w:tcPr>
            <w:tcW w:w="1510" w:type="dxa"/>
            <w:tcBorders>
              <w:top w:val="nil"/>
              <w:left w:val="nil"/>
              <w:bottom w:val="nil"/>
              <w:right w:val="single" w:sz="4" w:space="0" w:color="auto"/>
            </w:tcBorders>
            <w:shd w:val="clear" w:color="auto" w:fill="auto"/>
            <w:noWrap/>
            <w:vAlign w:val="bottom"/>
            <w:hideMark/>
          </w:tcPr>
          <w:p w14:paraId="30692E5F"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23,75</w:t>
            </w:r>
          </w:p>
        </w:tc>
        <w:tc>
          <w:tcPr>
            <w:tcW w:w="1440" w:type="dxa"/>
            <w:tcBorders>
              <w:top w:val="nil"/>
              <w:left w:val="nil"/>
              <w:bottom w:val="nil"/>
              <w:right w:val="single" w:sz="4" w:space="0" w:color="auto"/>
            </w:tcBorders>
            <w:shd w:val="clear" w:color="auto" w:fill="auto"/>
            <w:noWrap/>
            <w:vAlign w:val="bottom"/>
            <w:hideMark/>
          </w:tcPr>
          <w:p w14:paraId="4E24C9F4"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30,51</w:t>
            </w:r>
          </w:p>
        </w:tc>
        <w:tc>
          <w:tcPr>
            <w:tcW w:w="1540" w:type="dxa"/>
            <w:tcBorders>
              <w:top w:val="nil"/>
              <w:left w:val="nil"/>
              <w:bottom w:val="nil"/>
              <w:right w:val="single" w:sz="4" w:space="0" w:color="auto"/>
            </w:tcBorders>
            <w:shd w:val="clear" w:color="auto" w:fill="auto"/>
            <w:noWrap/>
            <w:vAlign w:val="bottom"/>
            <w:hideMark/>
          </w:tcPr>
          <w:p w14:paraId="74646E81"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-5,18</w:t>
            </w:r>
          </w:p>
        </w:tc>
        <w:tc>
          <w:tcPr>
            <w:tcW w:w="1660" w:type="dxa"/>
            <w:tcBorders>
              <w:top w:val="nil"/>
              <w:left w:val="nil"/>
              <w:bottom w:val="nil"/>
              <w:right w:val="double" w:sz="6" w:space="0" w:color="auto"/>
            </w:tcBorders>
            <w:shd w:val="clear" w:color="auto" w:fill="auto"/>
            <w:noWrap/>
            <w:vAlign w:val="bottom"/>
            <w:hideMark/>
          </w:tcPr>
          <w:p w14:paraId="4BF03509"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9,20</w:t>
            </w:r>
          </w:p>
        </w:tc>
      </w:tr>
      <w:tr w:rsidR="007417E6" w:rsidRPr="007417E6" w14:paraId="4464BD90" w14:textId="77777777" w:rsidTr="004E79B9">
        <w:trPr>
          <w:trHeight w:val="300"/>
        </w:trPr>
        <w:tc>
          <w:tcPr>
            <w:tcW w:w="1480"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0EBF4E3E" w14:textId="77777777" w:rsidR="007417E6" w:rsidRPr="007417E6" w:rsidRDefault="007417E6" w:rsidP="007417E6">
            <w:pPr>
              <w:overflowPunct/>
              <w:autoSpaceDE/>
              <w:autoSpaceDN/>
              <w:adjustRightInd/>
              <w:jc w:val="center"/>
              <w:textAlignment w:val="auto"/>
              <w:rPr>
                <w:rFonts w:ascii="Arial" w:hAnsi="Arial" w:cs="Arial"/>
                <w:b/>
                <w:bCs/>
                <w:sz w:val="22"/>
                <w:szCs w:val="22"/>
              </w:rPr>
            </w:pPr>
            <w:r w:rsidRPr="007417E6">
              <w:rPr>
                <w:rFonts w:ascii="Arial" w:hAnsi="Arial" w:cs="Arial"/>
                <w:b/>
                <w:bCs/>
                <w:sz w:val="22"/>
                <w:szCs w:val="22"/>
              </w:rPr>
              <w:t>2020</w:t>
            </w:r>
          </w:p>
        </w:tc>
        <w:tc>
          <w:tcPr>
            <w:tcW w:w="1510" w:type="dxa"/>
            <w:tcBorders>
              <w:top w:val="nil"/>
              <w:left w:val="nil"/>
              <w:bottom w:val="double" w:sz="6" w:space="0" w:color="auto"/>
              <w:right w:val="single" w:sz="4" w:space="0" w:color="auto"/>
            </w:tcBorders>
            <w:shd w:val="clear" w:color="auto" w:fill="auto"/>
            <w:noWrap/>
            <w:vAlign w:val="bottom"/>
            <w:hideMark/>
          </w:tcPr>
          <w:p w14:paraId="5C294935"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22,65</w:t>
            </w:r>
          </w:p>
        </w:tc>
        <w:tc>
          <w:tcPr>
            <w:tcW w:w="1440" w:type="dxa"/>
            <w:tcBorders>
              <w:top w:val="nil"/>
              <w:left w:val="nil"/>
              <w:bottom w:val="double" w:sz="6" w:space="0" w:color="auto"/>
              <w:right w:val="single" w:sz="4" w:space="0" w:color="auto"/>
            </w:tcBorders>
            <w:shd w:val="clear" w:color="auto" w:fill="auto"/>
            <w:noWrap/>
            <w:vAlign w:val="bottom"/>
            <w:hideMark/>
          </w:tcPr>
          <w:p w14:paraId="36EA684C"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36,13</w:t>
            </w:r>
          </w:p>
        </w:tc>
        <w:tc>
          <w:tcPr>
            <w:tcW w:w="1540" w:type="dxa"/>
            <w:tcBorders>
              <w:top w:val="nil"/>
              <w:left w:val="nil"/>
              <w:bottom w:val="double" w:sz="6" w:space="0" w:color="auto"/>
              <w:right w:val="single" w:sz="4" w:space="0" w:color="auto"/>
            </w:tcBorders>
            <w:shd w:val="clear" w:color="auto" w:fill="auto"/>
            <w:noWrap/>
            <w:vAlign w:val="bottom"/>
            <w:hideMark/>
          </w:tcPr>
          <w:p w14:paraId="59AFF09E" w14:textId="77777777" w:rsidR="007417E6" w:rsidRPr="007C2DBF" w:rsidRDefault="007417E6" w:rsidP="007417E6">
            <w:pPr>
              <w:overflowPunct/>
              <w:autoSpaceDE/>
              <w:autoSpaceDN/>
              <w:adjustRightInd/>
              <w:jc w:val="center"/>
              <w:textAlignment w:val="auto"/>
              <w:rPr>
                <w:rFonts w:ascii="Arial" w:hAnsi="Arial" w:cs="Arial"/>
                <w:b/>
                <w:bCs/>
              </w:rPr>
            </w:pPr>
            <w:r w:rsidRPr="007C2DBF">
              <w:rPr>
                <w:rFonts w:ascii="Arial" w:hAnsi="Arial" w:cs="Arial"/>
                <w:b/>
                <w:bCs/>
              </w:rPr>
              <w:t>-9,90</w:t>
            </w:r>
          </w:p>
        </w:tc>
        <w:tc>
          <w:tcPr>
            <w:tcW w:w="1660" w:type="dxa"/>
            <w:tcBorders>
              <w:top w:val="nil"/>
              <w:left w:val="nil"/>
              <w:bottom w:val="double" w:sz="6" w:space="0" w:color="auto"/>
              <w:right w:val="double" w:sz="6" w:space="0" w:color="auto"/>
            </w:tcBorders>
            <w:shd w:val="clear" w:color="auto" w:fill="auto"/>
            <w:noWrap/>
            <w:vAlign w:val="bottom"/>
            <w:hideMark/>
          </w:tcPr>
          <w:p w14:paraId="4DAEC267" w14:textId="77777777" w:rsidR="007417E6" w:rsidRPr="007C2DBF" w:rsidRDefault="007417E6" w:rsidP="007417E6">
            <w:pPr>
              <w:overflowPunct/>
              <w:autoSpaceDE/>
              <w:autoSpaceDN/>
              <w:adjustRightInd/>
              <w:jc w:val="center"/>
              <w:textAlignment w:val="auto"/>
              <w:rPr>
                <w:rFonts w:ascii="Arial" w:hAnsi="Arial" w:cs="Arial"/>
              </w:rPr>
            </w:pPr>
            <w:r w:rsidRPr="007C2DBF">
              <w:rPr>
                <w:rFonts w:ascii="Arial" w:hAnsi="Arial" w:cs="Arial"/>
              </w:rPr>
              <w:t>4,56</w:t>
            </w:r>
          </w:p>
        </w:tc>
      </w:tr>
    </w:tbl>
    <w:p w14:paraId="008D25B8" w14:textId="77777777" w:rsidR="0003262B" w:rsidRDefault="0003262B" w:rsidP="00D52B82">
      <w:pPr>
        <w:overflowPunct/>
        <w:spacing w:line="276" w:lineRule="auto"/>
        <w:textAlignment w:val="auto"/>
        <w:rPr>
          <w:rFonts w:ascii="Arial" w:eastAsia="Calibri" w:hAnsi="Arial" w:cs="Arial"/>
          <w:sz w:val="24"/>
          <w:szCs w:val="24"/>
          <w:lang w:eastAsia="en-US"/>
        </w:rPr>
      </w:pPr>
    </w:p>
    <w:p w14:paraId="6C8281D5" w14:textId="77777777" w:rsidR="005B2540" w:rsidRDefault="00311B46" w:rsidP="00D52B8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e) </w:t>
      </w:r>
      <w:r w:rsidR="00304FF9" w:rsidRPr="00304FF9">
        <w:rPr>
          <w:rFonts w:ascii="Arial" w:eastAsia="Calibri" w:hAnsi="Arial" w:cs="Arial"/>
          <w:sz w:val="24"/>
          <w:szCs w:val="24"/>
          <w:lang w:eastAsia="en-US"/>
        </w:rPr>
        <w:t xml:space="preserve">Der </w:t>
      </w:r>
      <w:r w:rsidR="00304FF9" w:rsidRPr="00304FF9">
        <w:rPr>
          <w:rFonts w:ascii="Arial" w:eastAsia="Calibri" w:hAnsi="Arial" w:cs="Arial"/>
          <w:b/>
          <w:bCs/>
          <w:sz w:val="24"/>
          <w:szCs w:val="24"/>
          <w:lang w:eastAsia="en-US"/>
        </w:rPr>
        <w:t>vierte Parameter</w:t>
      </w:r>
      <w:r w:rsidR="00304FF9" w:rsidRPr="00304FF9">
        <w:rPr>
          <w:rFonts w:ascii="Arial" w:eastAsia="Calibri" w:hAnsi="Arial" w:cs="Arial"/>
          <w:sz w:val="24"/>
          <w:szCs w:val="24"/>
          <w:lang w:eastAsia="en-US"/>
        </w:rPr>
        <w:t xml:space="preserve"> ist in allen streitgegenständlichen Jahren erfüllt.</w:t>
      </w:r>
      <w:r w:rsidR="00934904">
        <w:rPr>
          <w:rFonts w:ascii="Arial" w:eastAsia="Calibri" w:hAnsi="Arial" w:cs="Arial"/>
          <w:sz w:val="24"/>
          <w:szCs w:val="24"/>
          <w:lang w:eastAsia="en-US"/>
        </w:rPr>
        <w:t xml:space="preserve"> </w:t>
      </w:r>
      <w:r w:rsidR="008323C2">
        <w:rPr>
          <w:rFonts w:ascii="Arial" w:eastAsia="Calibri" w:hAnsi="Arial" w:cs="Arial"/>
          <w:sz w:val="24"/>
          <w:szCs w:val="24"/>
          <w:lang w:eastAsia="en-US"/>
        </w:rPr>
        <w:t xml:space="preserve">Dieser Parameter </w:t>
      </w:r>
      <w:r w:rsidR="00934904" w:rsidRPr="00934904">
        <w:rPr>
          <w:rFonts w:ascii="Arial" w:eastAsia="Calibri" w:hAnsi="Arial" w:cs="Arial"/>
          <w:sz w:val="24"/>
          <w:szCs w:val="24"/>
          <w:lang w:eastAsia="en-US"/>
        </w:rPr>
        <w:t xml:space="preserve">ergibt sich aus einem systeminternen Besoldungsvergleich. Dessen Ergebnis kann in zweifacher Hinsicht indizielle Bedeutung dafür haben, dass die Besoldung hinter den Vorgaben des Alimentationsprinzips zurückbleibt. </w:t>
      </w:r>
    </w:p>
    <w:p w14:paraId="0EBE54D8" w14:textId="77777777" w:rsidR="005B2540" w:rsidRDefault="005B2540" w:rsidP="00D52B82">
      <w:pPr>
        <w:overflowPunct/>
        <w:spacing w:line="276" w:lineRule="auto"/>
        <w:jc w:val="both"/>
        <w:textAlignment w:val="auto"/>
        <w:rPr>
          <w:rFonts w:ascii="Arial" w:eastAsia="Calibri" w:hAnsi="Arial" w:cs="Arial"/>
          <w:sz w:val="24"/>
          <w:szCs w:val="24"/>
          <w:lang w:eastAsia="en-US"/>
        </w:rPr>
      </w:pPr>
    </w:p>
    <w:p w14:paraId="0555094E" w14:textId="26C5F4E6" w:rsidR="00934904" w:rsidRDefault="00DA055D" w:rsidP="00D52B8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D</w:t>
      </w:r>
      <w:r w:rsidR="00934904" w:rsidRPr="00934904">
        <w:rPr>
          <w:rFonts w:ascii="Arial" w:eastAsia="Calibri" w:hAnsi="Arial" w:cs="Arial"/>
          <w:sz w:val="24"/>
          <w:szCs w:val="24"/>
          <w:lang w:eastAsia="en-US"/>
        </w:rPr>
        <w:t>er</w:t>
      </w:r>
      <w:r w:rsidR="00934904">
        <w:rPr>
          <w:rFonts w:ascii="Arial" w:eastAsia="Calibri" w:hAnsi="Arial" w:cs="Arial"/>
          <w:sz w:val="24"/>
          <w:szCs w:val="24"/>
          <w:lang w:eastAsia="en-US"/>
        </w:rPr>
        <w:t xml:space="preserve"> </w:t>
      </w:r>
      <w:r w:rsidR="00934904" w:rsidRPr="00934904">
        <w:rPr>
          <w:rFonts w:ascii="Arial" w:eastAsia="Calibri" w:hAnsi="Arial" w:cs="Arial"/>
          <w:sz w:val="24"/>
          <w:szCs w:val="24"/>
          <w:lang w:eastAsia="en-US"/>
        </w:rPr>
        <w:t xml:space="preserve">vierte Parameter </w:t>
      </w:r>
      <w:r>
        <w:rPr>
          <w:rFonts w:ascii="Arial" w:eastAsia="Calibri" w:hAnsi="Arial" w:cs="Arial"/>
          <w:sz w:val="24"/>
          <w:szCs w:val="24"/>
          <w:lang w:eastAsia="en-US"/>
        </w:rPr>
        <w:t xml:space="preserve">kann </w:t>
      </w:r>
      <w:r w:rsidR="00934904" w:rsidRPr="00934904">
        <w:rPr>
          <w:rFonts w:ascii="Arial" w:eastAsia="Calibri" w:hAnsi="Arial" w:cs="Arial"/>
          <w:sz w:val="24"/>
          <w:szCs w:val="24"/>
          <w:lang w:eastAsia="en-US"/>
        </w:rPr>
        <w:t>dadurch erfüllt werden, dass die Abstände zwischen zwei zu vergleichenden Besoldungsgruppen aufgrund unterschiedlich hoher linearer oder zeitlich verzögerter Besoldungsanpassung in den zurückliegenden fünf Jahren um mindestens 10 %</w:t>
      </w:r>
      <w:r w:rsidR="00934904">
        <w:rPr>
          <w:rFonts w:ascii="Arial" w:eastAsia="Calibri" w:hAnsi="Arial" w:cs="Arial"/>
          <w:sz w:val="24"/>
          <w:szCs w:val="24"/>
          <w:lang w:eastAsia="en-US"/>
        </w:rPr>
        <w:t xml:space="preserve"> </w:t>
      </w:r>
      <w:r w:rsidR="00934904" w:rsidRPr="00934904">
        <w:rPr>
          <w:rFonts w:ascii="Arial" w:eastAsia="Calibri" w:hAnsi="Arial" w:cs="Arial"/>
          <w:sz w:val="24"/>
          <w:szCs w:val="24"/>
          <w:lang w:eastAsia="en-US"/>
        </w:rPr>
        <w:t>abgeschmolzen wurden (BVerfG, Beschl</w:t>
      </w:r>
      <w:r w:rsidR="00EB750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v</w:t>
      </w:r>
      <w:r w:rsidR="00EB750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4. Mai 2020 – 2 BvL 4/18 </w:t>
      </w:r>
      <w:r w:rsidR="00934904" w:rsidRPr="00033ED9">
        <w:rPr>
          <w:rFonts w:ascii="Arial" w:eastAsia="Calibri" w:hAnsi="Arial" w:cs="Arial"/>
          <w:sz w:val="24"/>
          <w:szCs w:val="24"/>
          <w:lang w:eastAsia="en-US"/>
        </w:rPr>
        <w:t>– juris Rn. 45</w:t>
      </w:r>
      <w:r w:rsidR="00AD40EC">
        <w:rPr>
          <w:rFonts w:ascii="Arial" w:eastAsia="Calibri" w:hAnsi="Arial" w:cs="Arial"/>
          <w:sz w:val="24"/>
          <w:szCs w:val="24"/>
          <w:lang w:eastAsia="en-US"/>
        </w:rPr>
        <w:t xml:space="preserve">; </w:t>
      </w:r>
      <w:r w:rsidR="00A33D0C">
        <w:rPr>
          <w:rFonts w:ascii="Arial" w:eastAsia="Calibri" w:hAnsi="Arial" w:cs="Arial"/>
          <w:sz w:val="24"/>
          <w:szCs w:val="24"/>
          <w:lang w:eastAsia="en-US"/>
        </w:rPr>
        <w:t>dazu unten</w:t>
      </w:r>
      <w:r w:rsidR="00AD40EC">
        <w:rPr>
          <w:rFonts w:ascii="Arial" w:eastAsia="Calibri" w:hAnsi="Arial" w:cs="Arial"/>
          <w:sz w:val="24"/>
          <w:szCs w:val="24"/>
          <w:lang w:eastAsia="en-US"/>
        </w:rPr>
        <w:t> </w:t>
      </w:r>
      <w:r w:rsidR="00A33D0C">
        <w:rPr>
          <w:rFonts w:ascii="Arial" w:eastAsia="Calibri" w:hAnsi="Arial" w:cs="Arial"/>
          <w:sz w:val="24"/>
          <w:szCs w:val="24"/>
          <w:lang w:eastAsia="en-US"/>
        </w:rPr>
        <w:t>aa))</w:t>
      </w:r>
      <w:r w:rsidR="00934904" w:rsidRPr="00934904">
        <w:rPr>
          <w:rFonts w:ascii="Arial" w:eastAsia="Calibri" w:hAnsi="Arial" w:cs="Arial"/>
          <w:sz w:val="24"/>
          <w:szCs w:val="24"/>
          <w:lang w:eastAsia="en-US"/>
        </w:rPr>
        <w:t>.</w:t>
      </w:r>
    </w:p>
    <w:p w14:paraId="217E8792" w14:textId="77777777" w:rsidR="00626095" w:rsidRPr="00934904" w:rsidRDefault="00626095" w:rsidP="00D52B82">
      <w:pPr>
        <w:overflowPunct/>
        <w:spacing w:line="276" w:lineRule="auto"/>
        <w:jc w:val="both"/>
        <w:textAlignment w:val="auto"/>
        <w:rPr>
          <w:rFonts w:ascii="Arial" w:eastAsia="Calibri" w:hAnsi="Arial" w:cs="Arial"/>
          <w:sz w:val="24"/>
          <w:szCs w:val="24"/>
          <w:lang w:eastAsia="en-US"/>
        </w:rPr>
      </w:pPr>
    </w:p>
    <w:p w14:paraId="0B6A9B2C" w14:textId="3E60D33C" w:rsidR="0001081C" w:rsidRPr="0001081C" w:rsidRDefault="00DA055D" w:rsidP="0001081C">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Ebenso </w:t>
      </w:r>
      <w:r w:rsidR="00934904" w:rsidRPr="00934904">
        <w:rPr>
          <w:rFonts w:ascii="Arial" w:eastAsia="Calibri" w:hAnsi="Arial" w:cs="Arial"/>
          <w:sz w:val="24"/>
          <w:szCs w:val="24"/>
          <w:lang w:eastAsia="en-US"/>
        </w:rPr>
        <w:t xml:space="preserve">folgt </w:t>
      </w:r>
      <w:r w:rsidR="0016512E">
        <w:rPr>
          <w:rFonts w:ascii="Arial" w:eastAsia="Calibri" w:hAnsi="Arial" w:cs="Arial"/>
          <w:sz w:val="24"/>
          <w:szCs w:val="24"/>
          <w:lang w:eastAsia="en-US"/>
        </w:rPr>
        <w:t xml:space="preserve">eine </w:t>
      </w:r>
      <w:r w:rsidR="00934904" w:rsidRPr="00934904">
        <w:rPr>
          <w:rFonts w:ascii="Arial" w:eastAsia="Calibri" w:hAnsi="Arial" w:cs="Arial"/>
          <w:sz w:val="24"/>
          <w:szCs w:val="24"/>
          <w:lang w:eastAsia="en-US"/>
        </w:rPr>
        <w:t>indizielle Bedeutung aus der Missachtung des gebotenen Mindestabstands zum Grundsicherungsniveau in der untersten Besoldungsgruppe (BVerfG,</w:t>
      </w:r>
      <w:r w:rsidR="00626095">
        <w:rPr>
          <w:rFonts w:ascii="Arial" w:eastAsia="Calibri" w:hAnsi="Arial" w:cs="Arial"/>
          <w:sz w:val="24"/>
          <w:szCs w:val="24"/>
          <w:lang w:eastAsia="en-US"/>
        </w:rPr>
        <w:t xml:space="preserve"> </w:t>
      </w:r>
      <w:r w:rsidR="00934904" w:rsidRPr="00934904">
        <w:rPr>
          <w:rFonts w:ascii="Arial" w:eastAsia="Calibri" w:hAnsi="Arial" w:cs="Arial"/>
          <w:sz w:val="24"/>
          <w:szCs w:val="24"/>
          <w:lang w:eastAsia="en-US"/>
        </w:rPr>
        <w:t>Beschl</w:t>
      </w:r>
      <w:r w:rsidR="000140A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4.</w:t>
      </w:r>
      <w:r w:rsidR="00EB750D">
        <w:rPr>
          <w:rFonts w:ascii="Arial" w:eastAsia="Calibri" w:hAnsi="Arial" w:cs="Arial"/>
          <w:sz w:val="24"/>
          <w:szCs w:val="24"/>
          <w:lang w:eastAsia="en-US"/>
        </w:rPr>
        <w:t> </w:t>
      </w:r>
      <w:r w:rsidR="00934904" w:rsidRPr="00934904">
        <w:rPr>
          <w:rFonts w:ascii="Arial" w:eastAsia="Calibri" w:hAnsi="Arial" w:cs="Arial"/>
          <w:sz w:val="24"/>
          <w:szCs w:val="24"/>
          <w:lang w:eastAsia="en-US"/>
        </w:rPr>
        <w:t>Mai 2020 – 2 BvL 4/18 – juris Rn. 46). Dieser Mindestabstand wird unterschritten, wenn die Nettoalimentation (unter Berücksichtigung der familienbezogenen</w:t>
      </w:r>
      <w:r w:rsidR="00626095">
        <w:rPr>
          <w:rFonts w:ascii="Arial" w:eastAsia="Calibri" w:hAnsi="Arial" w:cs="Arial"/>
          <w:sz w:val="24"/>
          <w:szCs w:val="24"/>
          <w:lang w:eastAsia="en-US"/>
        </w:rPr>
        <w:t xml:space="preserve"> </w:t>
      </w:r>
      <w:r w:rsidR="00934904" w:rsidRPr="00934904">
        <w:rPr>
          <w:rFonts w:ascii="Arial" w:eastAsia="Calibri" w:hAnsi="Arial" w:cs="Arial"/>
          <w:sz w:val="24"/>
          <w:szCs w:val="24"/>
          <w:lang w:eastAsia="en-US"/>
        </w:rPr>
        <w:t>Bez</w:t>
      </w:r>
      <w:r w:rsidR="00626095">
        <w:rPr>
          <w:rFonts w:ascii="Arial" w:eastAsia="Calibri" w:hAnsi="Arial" w:cs="Arial"/>
          <w:sz w:val="24"/>
          <w:szCs w:val="24"/>
          <w:lang w:eastAsia="en-US"/>
        </w:rPr>
        <w:t>ü</w:t>
      </w:r>
      <w:r w:rsidR="00934904" w:rsidRPr="00934904">
        <w:rPr>
          <w:rFonts w:ascii="Arial" w:eastAsia="Calibri" w:hAnsi="Arial" w:cs="Arial"/>
          <w:sz w:val="24"/>
          <w:szCs w:val="24"/>
          <w:lang w:eastAsia="en-US"/>
        </w:rPr>
        <w:t>gebestandteile und des Kindergelds) um weniger als 15 % über dem Grundsicherungsniveau liegt (BVerfG, Beschl</w:t>
      </w:r>
      <w:r w:rsidR="000140A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00934904" w:rsidRPr="00934904">
        <w:rPr>
          <w:rFonts w:ascii="Arial" w:eastAsia="Calibri" w:hAnsi="Arial" w:cs="Arial"/>
          <w:sz w:val="24"/>
          <w:szCs w:val="24"/>
          <w:lang w:eastAsia="en-US"/>
        </w:rPr>
        <w:t xml:space="preserve"> 4. Mai 2020 – 2 BvL 4/18 – juris Rn. 47</w:t>
      </w:r>
      <w:r w:rsidR="00AD40EC">
        <w:rPr>
          <w:rFonts w:ascii="Arial" w:eastAsia="Calibri" w:hAnsi="Arial" w:cs="Arial"/>
          <w:sz w:val="24"/>
          <w:szCs w:val="24"/>
          <w:lang w:eastAsia="en-US"/>
        </w:rPr>
        <w:t xml:space="preserve">; </w:t>
      </w:r>
      <w:r w:rsidR="00A33D0C">
        <w:rPr>
          <w:rFonts w:ascii="Arial" w:eastAsia="Calibri" w:hAnsi="Arial" w:cs="Arial"/>
          <w:sz w:val="24"/>
          <w:szCs w:val="24"/>
          <w:lang w:eastAsia="en-US"/>
        </w:rPr>
        <w:t xml:space="preserve">dazu </w:t>
      </w:r>
      <w:r w:rsidR="00A33D0C" w:rsidRPr="00A03238">
        <w:rPr>
          <w:rFonts w:ascii="Arial" w:eastAsia="Calibri" w:hAnsi="Arial" w:cs="Arial"/>
          <w:sz w:val="24"/>
          <w:szCs w:val="24"/>
          <w:lang w:eastAsia="en-US"/>
        </w:rPr>
        <w:t>unten bb</w:t>
      </w:r>
      <w:r w:rsidR="00AD40EC" w:rsidRPr="00A03238">
        <w:rPr>
          <w:rFonts w:ascii="Arial" w:eastAsia="Calibri" w:hAnsi="Arial" w:cs="Arial"/>
          <w:sz w:val="24"/>
          <w:szCs w:val="24"/>
          <w:lang w:eastAsia="en-US"/>
        </w:rPr>
        <w:t>)</w:t>
      </w:r>
      <w:r w:rsidR="00A33D0C" w:rsidRPr="00A03238">
        <w:rPr>
          <w:rFonts w:ascii="Arial" w:eastAsia="Calibri" w:hAnsi="Arial" w:cs="Arial"/>
          <w:sz w:val="24"/>
          <w:szCs w:val="24"/>
          <w:lang w:eastAsia="en-US"/>
        </w:rPr>
        <w:t>)</w:t>
      </w:r>
      <w:r w:rsidR="00934904" w:rsidRPr="00A03238">
        <w:rPr>
          <w:rFonts w:ascii="Arial" w:eastAsia="Calibri" w:hAnsi="Arial" w:cs="Arial"/>
          <w:sz w:val="24"/>
          <w:szCs w:val="24"/>
          <w:lang w:eastAsia="en-US"/>
        </w:rPr>
        <w:t>.</w:t>
      </w:r>
      <w:r w:rsidR="00CC55A1" w:rsidRPr="00A03238">
        <w:rPr>
          <w:rFonts w:ascii="Arial" w:eastAsia="Calibri" w:hAnsi="Arial" w:cs="Arial"/>
          <w:sz w:val="24"/>
          <w:szCs w:val="24"/>
          <w:lang w:eastAsia="en-US"/>
        </w:rPr>
        <w:t xml:space="preserve"> </w:t>
      </w:r>
      <w:r w:rsidR="005A324F" w:rsidRPr="00A03238">
        <w:rPr>
          <w:rFonts w:ascii="Arial" w:eastAsia="Calibri" w:hAnsi="Arial" w:cs="Arial"/>
          <w:sz w:val="24"/>
          <w:szCs w:val="24"/>
          <w:lang w:eastAsia="en-US"/>
        </w:rPr>
        <w:t xml:space="preserve">Die indizielle Bedeutung </w:t>
      </w:r>
      <w:r w:rsidR="00547020" w:rsidRPr="00A03238">
        <w:rPr>
          <w:rFonts w:ascii="Arial" w:eastAsia="Calibri" w:hAnsi="Arial" w:cs="Arial"/>
          <w:sz w:val="24"/>
          <w:szCs w:val="24"/>
          <w:lang w:eastAsia="en-US"/>
        </w:rPr>
        <w:t xml:space="preserve">dieses Parameters </w:t>
      </w:r>
      <w:r w:rsidR="00E51FAB" w:rsidRPr="00A03238">
        <w:rPr>
          <w:rFonts w:ascii="Arial" w:eastAsia="Calibri" w:hAnsi="Arial" w:cs="Arial"/>
          <w:sz w:val="24"/>
          <w:szCs w:val="24"/>
          <w:lang w:eastAsia="en-US"/>
        </w:rPr>
        <w:t xml:space="preserve">für das gesamte Besoldungsgefüge und damit </w:t>
      </w:r>
      <w:r w:rsidR="00547020" w:rsidRPr="00A03238">
        <w:rPr>
          <w:rFonts w:ascii="Arial" w:eastAsia="Calibri" w:hAnsi="Arial" w:cs="Arial"/>
          <w:sz w:val="24"/>
          <w:szCs w:val="24"/>
          <w:lang w:eastAsia="en-US"/>
        </w:rPr>
        <w:t xml:space="preserve">auch für die R-Besoldung </w:t>
      </w:r>
      <w:r w:rsidR="00A4287A" w:rsidRPr="00A03238">
        <w:rPr>
          <w:rFonts w:ascii="Arial" w:eastAsia="Calibri" w:hAnsi="Arial" w:cs="Arial"/>
          <w:sz w:val="24"/>
          <w:szCs w:val="24"/>
          <w:lang w:eastAsia="en-US"/>
        </w:rPr>
        <w:t xml:space="preserve">ergibt sich aus dem Umstand, dass </w:t>
      </w:r>
      <w:r w:rsidR="00BA4889" w:rsidRPr="00A03238">
        <w:rPr>
          <w:rFonts w:ascii="Arial" w:eastAsia="Calibri" w:hAnsi="Arial" w:cs="Arial"/>
          <w:sz w:val="24"/>
          <w:szCs w:val="24"/>
          <w:lang w:eastAsia="en-US"/>
        </w:rPr>
        <w:t>si</w:t>
      </w:r>
      <w:r w:rsidR="0001081C" w:rsidRPr="00A03238">
        <w:rPr>
          <w:rFonts w:ascii="Arial" w:eastAsia="Calibri" w:hAnsi="Arial" w:cs="Arial"/>
          <w:sz w:val="24"/>
          <w:szCs w:val="24"/>
          <w:lang w:eastAsia="en-US"/>
        </w:rPr>
        <w:t>c</w:t>
      </w:r>
      <w:r w:rsidR="00BA4889" w:rsidRPr="00A03238">
        <w:rPr>
          <w:rFonts w:ascii="Arial" w:eastAsia="Calibri" w:hAnsi="Arial" w:cs="Arial"/>
          <w:sz w:val="24"/>
          <w:szCs w:val="24"/>
          <w:lang w:eastAsia="en-US"/>
        </w:rPr>
        <w:t>h der vom Besoldungsgesetzgeber selbst gesetzte Ausgangspunkt</w:t>
      </w:r>
      <w:r w:rsidR="00592E80" w:rsidRPr="00A03238">
        <w:rPr>
          <w:rFonts w:ascii="Arial" w:eastAsia="Calibri" w:hAnsi="Arial" w:cs="Arial"/>
          <w:sz w:val="24"/>
          <w:szCs w:val="24"/>
          <w:lang w:eastAsia="en-US"/>
        </w:rPr>
        <w:t xml:space="preserve"> für die </w:t>
      </w:r>
      <w:bookmarkStart w:id="23" w:name="_Hlk95308423"/>
      <w:r w:rsidR="00592E80" w:rsidRPr="00A03238">
        <w:rPr>
          <w:rFonts w:ascii="Arial" w:eastAsia="Calibri" w:hAnsi="Arial" w:cs="Arial"/>
          <w:sz w:val="24"/>
          <w:szCs w:val="24"/>
          <w:lang w:eastAsia="en-US"/>
        </w:rPr>
        <w:t>Besoldungsstaffelung als fehlerhaft erweist</w:t>
      </w:r>
      <w:bookmarkEnd w:id="23"/>
      <w:r w:rsidR="00592E80" w:rsidRPr="00A03238">
        <w:rPr>
          <w:rFonts w:ascii="Arial" w:eastAsia="Calibri" w:hAnsi="Arial" w:cs="Arial"/>
          <w:sz w:val="24"/>
          <w:szCs w:val="24"/>
          <w:lang w:eastAsia="en-US"/>
        </w:rPr>
        <w:t xml:space="preserve">. </w:t>
      </w:r>
      <w:r w:rsidR="0001081C" w:rsidRPr="00A03238">
        <w:rPr>
          <w:rFonts w:ascii="Arial" w:eastAsia="Calibri" w:hAnsi="Arial" w:cs="Arial"/>
          <w:sz w:val="24"/>
          <w:szCs w:val="24"/>
          <w:lang w:eastAsia="en-US"/>
        </w:rPr>
        <w:t>Das für das Verhältnis zwischen den Besoldungsgruppen geltende Abstandsgebot zwingt den Gesetzgeber</w:t>
      </w:r>
      <w:r w:rsidR="00A03238">
        <w:rPr>
          <w:rFonts w:ascii="Arial" w:eastAsia="Calibri" w:hAnsi="Arial" w:cs="Arial"/>
          <w:sz w:val="24"/>
          <w:szCs w:val="24"/>
          <w:lang w:eastAsia="en-US"/>
        </w:rPr>
        <w:t xml:space="preserve"> </w:t>
      </w:r>
      <w:r w:rsidR="0001081C" w:rsidRPr="00A03238">
        <w:rPr>
          <w:rFonts w:ascii="Arial" w:eastAsia="Calibri" w:hAnsi="Arial" w:cs="Arial"/>
          <w:sz w:val="24"/>
          <w:szCs w:val="24"/>
          <w:lang w:eastAsia="en-US"/>
        </w:rPr>
        <w:t>dazu, bei der Ausgestaltung der Besoldung ein Gesamtkonzept zu verfolgen, das die Besoldungsgruppen und Besoldungsordnungen zueinander in Verhältnis setzt und abhängig voneinander aufbaut. Erweist sich die Grundlage dieses Gesamtkonzepts als verfassungswidrig, weil für die unterste(n) Besoldungsgruppe(n) die Anforderungen des Mindestabstandsgebots missachtet wurden, wird der Ausgangspunkt für die darauf aufbauende Stufung in Frage gestellt. Der Besoldungsgesetzgeber ist danach gehalten, eine neue konsistente Besoldungssystematik mit einem anderen Ausgangspunkt zu bestimmen</w:t>
      </w:r>
      <w:r w:rsidR="00076D27" w:rsidRPr="00A03238">
        <w:rPr>
          <w:rFonts w:ascii="Arial" w:eastAsia="Calibri" w:hAnsi="Arial" w:cs="Arial"/>
          <w:sz w:val="24"/>
          <w:szCs w:val="24"/>
          <w:lang w:eastAsia="en-US"/>
        </w:rPr>
        <w:t xml:space="preserve"> (BVerfG, Beschl. v. 4. Mai 2020 – 2</w:t>
      </w:r>
      <w:r w:rsidR="00F47966">
        <w:rPr>
          <w:rFonts w:ascii="Arial" w:eastAsia="Calibri" w:hAnsi="Arial" w:cs="Arial"/>
          <w:sz w:val="24"/>
          <w:szCs w:val="24"/>
          <w:lang w:eastAsia="en-US"/>
        </w:rPr>
        <w:t> </w:t>
      </w:r>
      <w:r w:rsidR="00076D27" w:rsidRPr="00A03238">
        <w:rPr>
          <w:rFonts w:ascii="Arial" w:eastAsia="Calibri" w:hAnsi="Arial" w:cs="Arial"/>
          <w:sz w:val="24"/>
          <w:szCs w:val="24"/>
          <w:lang w:eastAsia="en-US"/>
        </w:rPr>
        <w:t>BvL 4/18 – juris Rn. 48)</w:t>
      </w:r>
      <w:r w:rsidR="0001081C" w:rsidRPr="00A03238">
        <w:rPr>
          <w:rFonts w:ascii="Arial" w:eastAsia="Calibri" w:hAnsi="Arial" w:cs="Arial"/>
          <w:sz w:val="24"/>
          <w:szCs w:val="24"/>
          <w:lang w:eastAsia="en-US"/>
        </w:rPr>
        <w:t>.</w:t>
      </w:r>
    </w:p>
    <w:p w14:paraId="007F0456" w14:textId="77777777" w:rsidR="006952EC" w:rsidRDefault="006952EC" w:rsidP="00D52B82">
      <w:pPr>
        <w:overflowPunct/>
        <w:spacing w:line="276" w:lineRule="auto"/>
        <w:jc w:val="both"/>
        <w:textAlignment w:val="auto"/>
        <w:rPr>
          <w:rFonts w:ascii="Arial" w:eastAsia="Calibri" w:hAnsi="Arial" w:cs="Arial"/>
          <w:sz w:val="24"/>
          <w:szCs w:val="24"/>
          <w:lang w:eastAsia="en-US"/>
        </w:rPr>
      </w:pPr>
    </w:p>
    <w:p w14:paraId="5A536750" w14:textId="4E08DA56" w:rsidR="00704C32" w:rsidRDefault="00A33D0C">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aa) </w:t>
      </w:r>
      <w:r w:rsidR="00704C32">
        <w:rPr>
          <w:rFonts w:ascii="Arial" w:eastAsia="Calibri" w:hAnsi="Arial" w:cs="Arial"/>
          <w:sz w:val="24"/>
          <w:szCs w:val="24"/>
          <w:lang w:eastAsia="en-US"/>
        </w:rPr>
        <w:t xml:space="preserve">Die Besoldungsentwicklung im Land Berlin ist davon gekennzeichnet, dass der relative Abstand der Bruttoalimentation aus der Besoldungsordnung R zu den unteren Besoldungsgruppen der Besoldungsordnung A durch eine vollständige Neuordnung der Sonderzahlungen, Besoldungserhöhungen mit Sockelbeträgen und zuletzt durch Einführung einer nur Beamten gewährten „Hauptstadtzulage“ </w:t>
      </w:r>
      <w:r w:rsidR="00CC55A1">
        <w:rPr>
          <w:rFonts w:ascii="Arial" w:eastAsia="Calibri" w:hAnsi="Arial" w:cs="Arial"/>
          <w:sz w:val="24"/>
          <w:szCs w:val="24"/>
          <w:lang w:eastAsia="en-US"/>
        </w:rPr>
        <w:t xml:space="preserve">sowie </w:t>
      </w:r>
      <w:r w:rsidR="00704C32">
        <w:rPr>
          <w:rFonts w:ascii="Arial" w:eastAsia="Calibri" w:hAnsi="Arial" w:cs="Arial"/>
          <w:sz w:val="24"/>
          <w:szCs w:val="24"/>
          <w:lang w:eastAsia="en-US"/>
        </w:rPr>
        <w:t>Abschaffung der Besoldungsgruppe A 4 immer weiter verringert wurde. Diese Entwicklung hat sich beschleunigt, seit die Besoldung in die Länderzuständigkeit überführt wurde.</w:t>
      </w:r>
    </w:p>
    <w:p w14:paraId="69D6C45D" w14:textId="77777777" w:rsidR="00C6124D" w:rsidRDefault="00C6124D" w:rsidP="0024579F">
      <w:pPr>
        <w:overflowPunct/>
        <w:spacing w:line="276" w:lineRule="auto"/>
        <w:jc w:val="both"/>
        <w:textAlignment w:val="auto"/>
        <w:rPr>
          <w:rFonts w:ascii="Arial" w:eastAsia="Calibri" w:hAnsi="Arial" w:cs="Arial"/>
          <w:sz w:val="24"/>
          <w:szCs w:val="24"/>
          <w:lang w:eastAsia="en-US"/>
        </w:rPr>
      </w:pPr>
    </w:p>
    <w:p w14:paraId="4CAF4E30" w14:textId="54B85E7A" w:rsidR="00704C32" w:rsidRDefault="00704C32" w:rsidP="0024579F">
      <w:pPr>
        <w:overflowPunct/>
        <w:spacing w:line="276" w:lineRule="auto"/>
        <w:jc w:val="both"/>
        <w:textAlignment w:val="auto"/>
        <w:rPr>
          <w:rFonts w:ascii="Arial" w:eastAsia="Calibri" w:hAnsi="Arial" w:cs="Arial"/>
          <w:sz w:val="24"/>
          <w:szCs w:val="24"/>
          <w:lang w:eastAsia="en-US"/>
        </w:rPr>
      </w:pPr>
      <w:r w:rsidRPr="00B818ED">
        <w:rPr>
          <w:rFonts w:ascii="Arial" w:eastAsia="Calibri" w:hAnsi="Arial" w:cs="Arial"/>
          <w:sz w:val="24"/>
          <w:szCs w:val="24"/>
          <w:lang w:eastAsia="en-US"/>
        </w:rPr>
        <w:t xml:space="preserve">Nachdem zuletzt im Jahr 2002 auf bundesrechtlicher Grundlage eine Sonderzuwendung in Höhe von 86,31 % der für den Monat Dezember maßgeblichen Bezüge gewährt worden war, mithin die Sonderzahlung mit den Bezügen stieg, senkte das Land Berlin die Sonderzahlung für Beamte und Richter zunächst durch das Gesetz über die Gewährung einer jährlichen </w:t>
      </w:r>
      <w:r w:rsidRPr="00B818ED">
        <w:rPr>
          <w:rFonts w:ascii="Arial" w:eastAsia="Calibri" w:hAnsi="Arial" w:cs="Arial"/>
          <w:sz w:val="24"/>
          <w:szCs w:val="24"/>
          <w:lang w:eastAsia="en-US"/>
        </w:rPr>
        <w:lastRenderedPageBreak/>
        <w:t xml:space="preserve">Sonderzahlung (Sonderzahlungsgesetz) vom 5.November 2003 (GVBl. 2003, 538) auf einheitliche Pauschalbeträge ab. Durch das Gesetz zur Anpassung der Besoldung und Versorgung für das Land Berlin 2017/2018, zur Änderung des Sonderzahlungsgesetzes und zur Änderung weiterer besoldungsrechtlicher Vorschriften (BerlBVAnpG 2017/2018) vom 20. Juli 2017 (GVBl. 2017, 382) führte das Land Berlin </w:t>
      </w:r>
      <w:r>
        <w:rPr>
          <w:rFonts w:ascii="Arial" w:eastAsia="Calibri" w:hAnsi="Arial" w:cs="Arial"/>
          <w:sz w:val="24"/>
          <w:szCs w:val="24"/>
          <w:lang w:eastAsia="en-US"/>
        </w:rPr>
        <w:t xml:space="preserve">sodann </w:t>
      </w:r>
      <w:r w:rsidRPr="00B818ED">
        <w:rPr>
          <w:rFonts w:ascii="Arial" w:eastAsia="Calibri" w:hAnsi="Arial" w:cs="Arial"/>
          <w:sz w:val="24"/>
          <w:szCs w:val="24"/>
          <w:lang w:eastAsia="en-US"/>
        </w:rPr>
        <w:t xml:space="preserve">ein „inverses“ Sonderzahlungsregime ein, in dem Beamtinnen und Beamten unterer Besoldungsgruppen höhere Sonderzahlungen gewährt werden als Richterinnen und Richtern. Die jährliche Sonderzahlung betrug danach für Beamtinnen und Beamte in den Besoldungsgruppen A 4 bis A 9 </w:t>
      </w:r>
      <w:r>
        <w:rPr>
          <w:rFonts w:ascii="Arial" w:eastAsia="Calibri" w:hAnsi="Arial" w:cs="Arial"/>
          <w:sz w:val="24"/>
          <w:szCs w:val="24"/>
          <w:lang w:eastAsia="en-US"/>
        </w:rPr>
        <w:t xml:space="preserve">zunächst </w:t>
      </w:r>
      <w:r w:rsidRPr="00B818ED">
        <w:rPr>
          <w:rFonts w:ascii="Arial" w:eastAsia="Calibri" w:hAnsi="Arial" w:cs="Arial"/>
          <w:sz w:val="24"/>
          <w:szCs w:val="24"/>
          <w:lang w:eastAsia="en-US"/>
        </w:rPr>
        <w:t xml:space="preserve">1.000,00 </w:t>
      </w:r>
      <w:r w:rsidR="00996C9D">
        <w:rPr>
          <w:rFonts w:ascii="Arial" w:eastAsia="Calibri" w:hAnsi="Arial" w:cs="Arial"/>
          <w:sz w:val="24"/>
          <w:szCs w:val="24"/>
          <w:lang w:eastAsia="en-US"/>
        </w:rPr>
        <w:t>€</w:t>
      </w:r>
      <w:r w:rsidRPr="00B818ED">
        <w:rPr>
          <w:rFonts w:ascii="Arial" w:eastAsia="Calibri" w:hAnsi="Arial" w:cs="Arial"/>
          <w:sz w:val="24"/>
          <w:szCs w:val="24"/>
          <w:lang w:eastAsia="en-US"/>
        </w:rPr>
        <w:t xml:space="preserve">, für Richterinnen und Richter lediglich 800,00 </w:t>
      </w:r>
      <w:r w:rsidR="00996C9D">
        <w:rPr>
          <w:rFonts w:ascii="Arial" w:eastAsia="Calibri" w:hAnsi="Arial" w:cs="Arial"/>
          <w:sz w:val="24"/>
          <w:szCs w:val="24"/>
          <w:lang w:eastAsia="en-US"/>
        </w:rPr>
        <w:t>€</w:t>
      </w:r>
      <w:r w:rsidRPr="00B818ED">
        <w:rPr>
          <w:rFonts w:ascii="Arial" w:eastAsia="Calibri" w:hAnsi="Arial" w:cs="Arial"/>
          <w:sz w:val="24"/>
          <w:szCs w:val="24"/>
          <w:lang w:eastAsia="en-US"/>
        </w:rPr>
        <w:t xml:space="preserve">. Diese Systematik wurde in den Folgejahren fortgeschrieben. Während sich die Sonderzahlung für Beamtinnen und Beamte in den Besoldungsgruppen A 4 bis A 9 durch das Zweite Gesetz zur Änderung des Sonderzahlungsgesetzes vom 18. Dezember 2018 (GVBl. 2018, 708) auf 1.550,00 </w:t>
      </w:r>
      <w:r w:rsidR="00996C9D">
        <w:rPr>
          <w:rFonts w:ascii="Arial" w:eastAsia="Calibri" w:hAnsi="Arial" w:cs="Arial"/>
          <w:sz w:val="24"/>
          <w:szCs w:val="24"/>
          <w:lang w:eastAsia="en-US"/>
        </w:rPr>
        <w:t>€</w:t>
      </w:r>
      <w:r w:rsidRPr="00B818ED">
        <w:rPr>
          <w:rFonts w:ascii="Arial" w:eastAsia="Calibri" w:hAnsi="Arial" w:cs="Arial"/>
          <w:sz w:val="24"/>
          <w:szCs w:val="24"/>
          <w:lang w:eastAsia="en-US"/>
        </w:rPr>
        <w:t xml:space="preserve"> erhöhte</w:t>
      </w:r>
      <w:r>
        <w:rPr>
          <w:rFonts w:ascii="Arial" w:eastAsia="Calibri" w:hAnsi="Arial" w:cs="Arial"/>
          <w:sz w:val="24"/>
          <w:szCs w:val="24"/>
          <w:lang w:eastAsia="en-US"/>
        </w:rPr>
        <w:t>,</w:t>
      </w:r>
      <w:r w:rsidRPr="00B818ED">
        <w:rPr>
          <w:rFonts w:ascii="Arial" w:eastAsia="Calibri" w:hAnsi="Arial" w:cs="Arial"/>
          <w:sz w:val="24"/>
          <w:szCs w:val="24"/>
          <w:lang w:eastAsia="en-US"/>
        </w:rPr>
        <w:t xml:space="preserve"> wurde die Sonderzahlung für Richterinnen und Richter lediglich auf 900,00 </w:t>
      </w:r>
      <w:r w:rsidR="00996C9D">
        <w:rPr>
          <w:rFonts w:ascii="Arial" w:eastAsia="Calibri" w:hAnsi="Arial" w:cs="Arial"/>
          <w:sz w:val="24"/>
          <w:szCs w:val="24"/>
          <w:lang w:eastAsia="en-US"/>
        </w:rPr>
        <w:t>€</w:t>
      </w:r>
      <w:r w:rsidRPr="00B818ED">
        <w:rPr>
          <w:rFonts w:ascii="Arial" w:eastAsia="Calibri" w:hAnsi="Arial" w:cs="Arial"/>
          <w:sz w:val="24"/>
          <w:szCs w:val="24"/>
          <w:lang w:eastAsia="en-US"/>
        </w:rPr>
        <w:t xml:space="preserve"> angehoben.</w:t>
      </w:r>
    </w:p>
    <w:p w14:paraId="76439C88" w14:textId="77777777" w:rsidR="006952EC" w:rsidRPr="00B818ED" w:rsidRDefault="006952EC" w:rsidP="0024579F">
      <w:pPr>
        <w:overflowPunct/>
        <w:spacing w:line="276" w:lineRule="auto"/>
        <w:jc w:val="both"/>
        <w:textAlignment w:val="auto"/>
        <w:rPr>
          <w:rFonts w:ascii="Arial" w:eastAsia="Calibri" w:hAnsi="Arial" w:cs="Arial"/>
          <w:sz w:val="24"/>
          <w:szCs w:val="24"/>
          <w:lang w:eastAsia="en-US"/>
        </w:rPr>
      </w:pPr>
    </w:p>
    <w:p w14:paraId="7C577761" w14:textId="77777777" w:rsidR="00704C32" w:rsidRDefault="00704C32">
      <w:pPr>
        <w:overflowPunct/>
        <w:spacing w:line="276" w:lineRule="auto"/>
        <w:jc w:val="both"/>
        <w:textAlignment w:val="auto"/>
        <w:rPr>
          <w:rFonts w:ascii="Arial" w:eastAsia="Calibri" w:hAnsi="Arial" w:cs="Arial"/>
          <w:sz w:val="24"/>
          <w:szCs w:val="24"/>
          <w:lang w:eastAsia="en-US"/>
        </w:rPr>
      </w:pPr>
      <w:r w:rsidRPr="00B818ED">
        <w:rPr>
          <w:rFonts w:ascii="Arial" w:eastAsia="Calibri" w:hAnsi="Arial" w:cs="Arial"/>
          <w:sz w:val="24"/>
          <w:szCs w:val="24"/>
          <w:lang w:eastAsia="en-US"/>
        </w:rPr>
        <w:t>Bei den Besoldungserhöhungen in den Jahren 2011, 2016 und 2017 wurden zudem die Grundgehälter in den unteren Besoldungsgruppen stärker angehoben als die der R-Besoldung (Gesetz zur Besoldungsneuregelung für das Land Berlin</w:t>
      </w:r>
      <w:r w:rsidRPr="00D34815">
        <w:rPr>
          <w:rFonts w:ascii="Arial" w:eastAsia="Calibri" w:hAnsi="Arial" w:cs="Arial"/>
          <w:sz w:val="24"/>
          <w:szCs w:val="24"/>
          <w:lang w:eastAsia="en-US"/>
        </w:rPr>
        <w:t xml:space="preserve"> </w:t>
      </w:r>
      <w:r w:rsidRPr="00B818ED">
        <w:rPr>
          <w:rFonts w:ascii="Arial" w:eastAsia="Calibri" w:hAnsi="Arial" w:cs="Arial"/>
          <w:sz w:val="24"/>
          <w:szCs w:val="24"/>
          <w:lang w:eastAsia="en-US"/>
        </w:rPr>
        <w:t>-</w:t>
      </w:r>
      <w:r w:rsidRPr="00D34815">
        <w:rPr>
          <w:rFonts w:ascii="Arial" w:eastAsia="Calibri" w:hAnsi="Arial" w:cs="Arial"/>
          <w:sz w:val="24"/>
          <w:szCs w:val="24"/>
          <w:lang w:eastAsia="en-US"/>
        </w:rPr>
        <w:t xml:space="preserve"> BerlBesNG</w:t>
      </w:r>
      <w:r w:rsidRPr="00B818ED">
        <w:rPr>
          <w:rFonts w:ascii="Arial" w:eastAsia="Calibri" w:hAnsi="Arial" w:cs="Arial"/>
          <w:sz w:val="24"/>
          <w:szCs w:val="24"/>
          <w:lang w:eastAsia="en-US"/>
        </w:rPr>
        <w:t xml:space="preserve"> vom 29. Juni 2011, GVBl. 2011, 306; Gesetz zur Anpassung der Besoldung und Versorgung für das Land Berlin 2016 und zur Änderung weiterer dienstrechtlicher Vorschriften - BerlBVAnpG 2016 vom 17. Juni 2016, GVBl. 2016, 334; Gesetz zur Anpassung der Besoldung und Versorgung für das Land Berlin 2017/2018, zur Änderung des Sonderzahlungsgesetzes und zur Änderung weiterer besoldungsrechtlicher Vorschriften - BerlBVAnpG 2017/2018 vom 20. Juli 2017, GVBl. 2017, 382).</w:t>
      </w:r>
    </w:p>
    <w:p w14:paraId="72B57499" w14:textId="77777777" w:rsidR="003A5225" w:rsidRPr="00B818ED" w:rsidRDefault="003A5225" w:rsidP="0024579F">
      <w:pPr>
        <w:overflowPunct/>
        <w:spacing w:line="276" w:lineRule="auto"/>
        <w:jc w:val="both"/>
        <w:textAlignment w:val="auto"/>
        <w:rPr>
          <w:rFonts w:ascii="Arial" w:eastAsia="Calibri" w:hAnsi="Arial" w:cs="Arial"/>
          <w:sz w:val="24"/>
          <w:szCs w:val="24"/>
          <w:lang w:eastAsia="en-US"/>
        </w:rPr>
      </w:pPr>
    </w:p>
    <w:p w14:paraId="428BAC50" w14:textId="29E623C5" w:rsidR="00704C32" w:rsidRDefault="00704C3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Durch das </w:t>
      </w:r>
      <w:r w:rsidRPr="00DA435A">
        <w:rPr>
          <w:rFonts w:ascii="Arial" w:eastAsia="Calibri" w:hAnsi="Arial" w:cs="Arial"/>
          <w:sz w:val="24"/>
          <w:szCs w:val="24"/>
          <w:lang w:eastAsia="en-US"/>
        </w:rPr>
        <w:t xml:space="preserve">Gesetz zur Änderung des Kindertagesförderungsgesetzes und der Kindertagesförderungsverordnung, zur Änderung des Bundesbesoldungsgesetzes in der Überleitungsfassung für Berlin, zur Änderung des Straßenreinigungsgesetzes, zur Änderung des Berliner Betriebe-Gesetzes sowie zur Änderung des Versorgungsrücklagegesetzes (Haushaltsumsetzungsgesetz 2020) </w:t>
      </w:r>
      <w:r>
        <w:rPr>
          <w:rFonts w:ascii="Arial" w:eastAsia="Calibri" w:hAnsi="Arial" w:cs="Arial"/>
          <w:sz w:val="24"/>
          <w:szCs w:val="24"/>
          <w:lang w:eastAsia="en-US"/>
        </w:rPr>
        <w:t>vom 11. Juni 2020 (GVBl. 2020, 535) wurde dann in §</w:t>
      </w:r>
      <w:r w:rsidR="00E40082">
        <w:rPr>
          <w:rFonts w:ascii="Arial" w:eastAsia="Calibri" w:hAnsi="Arial" w:cs="Arial"/>
          <w:sz w:val="24"/>
          <w:szCs w:val="24"/>
          <w:lang w:eastAsia="en-US"/>
        </w:rPr>
        <w:t> </w:t>
      </w:r>
      <w:r>
        <w:rPr>
          <w:rFonts w:ascii="Arial" w:eastAsia="Calibri" w:hAnsi="Arial" w:cs="Arial"/>
          <w:sz w:val="24"/>
          <w:szCs w:val="24"/>
          <w:lang w:eastAsia="en-US"/>
        </w:rPr>
        <w:t>74a</w:t>
      </w:r>
      <w:r w:rsidR="00E40082">
        <w:rPr>
          <w:rFonts w:ascii="Arial" w:eastAsia="Calibri" w:hAnsi="Arial" w:cs="Arial"/>
          <w:sz w:val="24"/>
          <w:szCs w:val="24"/>
          <w:lang w:eastAsia="en-US"/>
        </w:rPr>
        <w:t> </w:t>
      </w:r>
      <w:r>
        <w:rPr>
          <w:rFonts w:ascii="Arial" w:eastAsia="Calibri" w:hAnsi="Arial" w:cs="Arial"/>
          <w:sz w:val="24"/>
          <w:szCs w:val="24"/>
          <w:lang w:eastAsia="en-US"/>
        </w:rPr>
        <w:t>BbesG Bln eine „Haup</w:t>
      </w:r>
      <w:r w:rsidR="00FD3FBD">
        <w:rPr>
          <w:rFonts w:ascii="Arial" w:eastAsia="Calibri" w:hAnsi="Arial" w:cs="Arial"/>
          <w:sz w:val="24"/>
          <w:szCs w:val="24"/>
          <w:lang w:eastAsia="en-US"/>
        </w:rPr>
        <w:t>t</w:t>
      </w:r>
      <w:r>
        <w:rPr>
          <w:rFonts w:ascii="Arial" w:eastAsia="Calibri" w:hAnsi="Arial" w:cs="Arial"/>
          <w:sz w:val="24"/>
          <w:szCs w:val="24"/>
          <w:lang w:eastAsia="en-US"/>
        </w:rPr>
        <w:t xml:space="preserve">stadtzulage“ i.H.v. 150,00 </w:t>
      </w:r>
      <w:r w:rsidR="00996C9D">
        <w:rPr>
          <w:rFonts w:ascii="Arial" w:eastAsia="Calibri" w:hAnsi="Arial" w:cs="Arial"/>
          <w:sz w:val="24"/>
          <w:szCs w:val="24"/>
          <w:lang w:eastAsia="en-US"/>
        </w:rPr>
        <w:t>€</w:t>
      </w:r>
      <w:r>
        <w:rPr>
          <w:rFonts w:ascii="Arial" w:eastAsia="Calibri" w:hAnsi="Arial" w:cs="Arial"/>
          <w:sz w:val="24"/>
          <w:szCs w:val="24"/>
          <w:lang w:eastAsia="en-US"/>
        </w:rPr>
        <w:t xml:space="preserve"> </w:t>
      </w:r>
      <w:r w:rsidR="00FD3FBD">
        <w:rPr>
          <w:rFonts w:ascii="Arial" w:eastAsia="Calibri" w:hAnsi="Arial" w:cs="Arial"/>
          <w:sz w:val="24"/>
          <w:szCs w:val="24"/>
          <w:lang w:eastAsia="en-US"/>
        </w:rPr>
        <w:t xml:space="preserve">monatlich </w:t>
      </w:r>
      <w:r>
        <w:rPr>
          <w:rFonts w:ascii="Arial" w:eastAsia="Calibri" w:hAnsi="Arial" w:cs="Arial"/>
          <w:sz w:val="24"/>
          <w:szCs w:val="24"/>
          <w:lang w:eastAsia="en-US"/>
        </w:rPr>
        <w:t xml:space="preserve">eingeführt, welche lediglich Beamten </w:t>
      </w:r>
      <w:r w:rsidRPr="00DA435A">
        <w:rPr>
          <w:rFonts w:ascii="Arial" w:eastAsia="Calibri" w:hAnsi="Arial" w:cs="Arial"/>
          <w:sz w:val="24"/>
          <w:szCs w:val="24"/>
          <w:lang w:eastAsia="en-US"/>
        </w:rPr>
        <w:t xml:space="preserve">mit Dienstbezügen bis einschließlich der Besoldungsgruppe A 13 mit Amtszulage </w:t>
      </w:r>
      <w:r>
        <w:rPr>
          <w:rFonts w:ascii="Arial" w:eastAsia="Calibri" w:hAnsi="Arial" w:cs="Arial"/>
          <w:sz w:val="24"/>
          <w:szCs w:val="24"/>
          <w:lang w:eastAsia="en-US"/>
        </w:rPr>
        <w:t xml:space="preserve">gewährt wird. Für die Besoldungsordnung R verbleibt es bei einem Zuschuss auf ein Firmenticket des Verkehrsverbundes Berlin-Brandenburg i.H.v. 15,00 </w:t>
      </w:r>
      <w:r w:rsidR="00996C9D">
        <w:rPr>
          <w:rFonts w:ascii="Arial" w:eastAsia="Calibri" w:hAnsi="Arial" w:cs="Arial"/>
          <w:sz w:val="24"/>
          <w:szCs w:val="24"/>
          <w:lang w:eastAsia="en-US"/>
        </w:rPr>
        <w:t>€</w:t>
      </w:r>
      <w:r>
        <w:rPr>
          <w:rFonts w:ascii="Arial" w:eastAsia="Calibri" w:hAnsi="Arial" w:cs="Arial"/>
          <w:sz w:val="24"/>
          <w:szCs w:val="24"/>
          <w:lang w:eastAsia="en-US"/>
        </w:rPr>
        <w:t xml:space="preserve"> </w:t>
      </w:r>
      <w:r w:rsidR="00FD3FBD">
        <w:rPr>
          <w:rFonts w:ascii="Arial" w:eastAsia="Calibri" w:hAnsi="Arial" w:cs="Arial"/>
          <w:sz w:val="24"/>
          <w:szCs w:val="24"/>
          <w:lang w:eastAsia="en-US"/>
        </w:rPr>
        <w:t xml:space="preserve">monatlich. </w:t>
      </w:r>
    </w:p>
    <w:p w14:paraId="1C7F6720" w14:textId="77777777" w:rsidR="00DA4917" w:rsidRDefault="00DA4917" w:rsidP="0024579F">
      <w:pPr>
        <w:overflowPunct/>
        <w:spacing w:line="276" w:lineRule="auto"/>
        <w:jc w:val="both"/>
        <w:textAlignment w:val="auto"/>
        <w:rPr>
          <w:rFonts w:ascii="Arial" w:eastAsia="Calibri" w:hAnsi="Arial" w:cs="Arial"/>
          <w:sz w:val="24"/>
          <w:szCs w:val="24"/>
          <w:lang w:eastAsia="en-US"/>
        </w:rPr>
      </w:pPr>
    </w:p>
    <w:p w14:paraId="035E5E72" w14:textId="4E4B762A" w:rsidR="00704C32" w:rsidRPr="00DA4917" w:rsidRDefault="00704C32" w:rsidP="0024579F">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Zuletzt wurde durch das </w:t>
      </w:r>
      <w:r w:rsidRPr="00DC3ABF">
        <w:rPr>
          <w:rFonts w:ascii="Arial" w:eastAsia="Calibri" w:hAnsi="Arial" w:cs="Arial"/>
          <w:sz w:val="24"/>
          <w:szCs w:val="24"/>
          <w:lang w:eastAsia="en-US"/>
        </w:rPr>
        <w:t xml:space="preserve">Gesetz zur Anpassung der Besoldung und Versorgung für das Land Berlin 2021 und zur Änderung weiterer Vorschriften (BerlBVAnpG 2021) vom 9. Februar 2021 </w:t>
      </w:r>
      <w:r w:rsidRPr="00DA4917">
        <w:rPr>
          <w:rFonts w:ascii="Arial" w:eastAsia="Calibri" w:hAnsi="Arial" w:cs="Arial"/>
          <w:sz w:val="24"/>
          <w:szCs w:val="24"/>
          <w:lang w:eastAsia="en-US"/>
        </w:rPr>
        <w:t xml:space="preserve">(GVBl. 2021, 146) die </w:t>
      </w:r>
      <w:r w:rsidRPr="00651E8F">
        <w:rPr>
          <w:rFonts w:ascii="Arial" w:eastAsia="Calibri" w:hAnsi="Arial" w:cs="Arial"/>
          <w:sz w:val="24"/>
          <w:szCs w:val="24"/>
          <w:lang w:eastAsia="en-US"/>
        </w:rPr>
        <w:t xml:space="preserve">Besoldungsgruppe A 4 gestrichen und </w:t>
      </w:r>
      <w:r w:rsidR="00996C9D" w:rsidRPr="00AE4230">
        <w:rPr>
          <w:rFonts w:ascii="Arial" w:eastAsia="Calibri" w:hAnsi="Arial" w:cs="Arial"/>
          <w:sz w:val="24"/>
          <w:szCs w:val="24"/>
          <w:lang w:eastAsia="en-US"/>
        </w:rPr>
        <w:t>– ohne Neubewertung der Ämterwertigkeit –</w:t>
      </w:r>
      <w:r w:rsidR="00996C9D" w:rsidRPr="00651E8F">
        <w:rPr>
          <w:rFonts w:ascii="Arial" w:eastAsia="Calibri" w:hAnsi="Arial" w:cs="Arial"/>
          <w:sz w:val="24"/>
          <w:szCs w:val="24"/>
          <w:lang w:eastAsia="en-US"/>
        </w:rPr>
        <w:t xml:space="preserve"> </w:t>
      </w:r>
      <w:r w:rsidRPr="00651E8F">
        <w:rPr>
          <w:rFonts w:ascii="Arial" w:eastAsia="Calibri" w:hAnsi="Arial" w:cs="Arial"/>
          <w:sz w:val="24"/>
          <w:szCs w:val="24"/>
          <w:lang w:eastAsia="en-US"/>
        </w:rPr>
        <w:t>die Besoldungsgruppe</w:t>
      </w:r>
      <w:r w:rsidRPr="00DA4917">
        <w:rPr>
          <w:rFonts w:ascii="Arial" w:eastAsia="Calibri" w:hAnsi="Arial" w:cs="Arial"/>
          <w:sz w:val="24"/>
          <w:szCs w:val="24"/>
          <w:lang w:eastAsia="en-US"/>
        </w:rPr>
        <w:t xml:space="preserve"> A 5 zum ersten Eingangsamt bestimmt.</w:t>
      </w:r>
      <w:r w:rsidR="001076AC">
        <w:rPr>
          <w:rFonts w:ascii="Arial" w:eastAsia="Calibri" w:hAnsi="Arial" w:cs="Arial"/>
          <w:sz w:val="24"/>
          <w:szCs w:val="24"/>
          <w:lang w:eastAsia="en-US"/>
        </w:rPr>
        <w:t xml:space="preserve"> </w:t>
      </w:r>
      <w:r w:rsidR="001076AC" w:rsidRPr="001076AC">
        <w:rPr>
          <w:rFonts w:ascii="Arial" w:eastAsia="Calibri" w:hAnsi="Arial" w:cs="Arial"/>
          <w:sz w:val="24"/>
          <w:szCs w:val="24"/>
          <w:lang w:eastAsia="en-US"/>
        </w:rPr>
        <w:t>Ein in der Besoldungsgruppe A 4 befindlicher Beamte</w:t>
      </w:r>
      <w:r w:rsidR="00FD3FBD">
        <w:rPr>
          <w:rFonts w:ascii="Arial" w:eastAsia="Calibri" w:hAnsi="Arial" w:cs="Arial"/>
          <w:sz w:val="24"/>
          <w:szCs w:val="24"/>
          <w:lang w:eastAsia="en-US"/>
        </w:rPr>
        <w:t>r</w:t>
      </w:r>
      <w:r w:rsidR="001076AC" w:rsidRPr="001076AC">
        <w:rPr>
          <w:rFonts w:ascii="Arial" w:eastAsia="Calibri" w:hAnsi="Arial" w:cs="Arial"/>
          <w:sz w:val="24"/>
          <w:szCs w:val="24"/>
          <w:lang w:eastAsia="en-US"/>
        </w:rPr>
        <w:t xml:space="preserve"> </w:t>
      </w:r>
      <w:r w:rsidR="001076AC" w:rsidRPr="003F7DCF">
        <w:rPr>
          <w:rFonts w:ascii="Arial" w:eastAsia="Calibri" w:hAnsi="Arial" w:cs="Arial"/>
          <w:sz w:val="24"/>
          <w:szCs w:val="24"/>
          <w:lang w:eastAsia="en-US"/>
        </w:rPr>
        <w:t xml:space="preserve">wurde zum </w:t>
      </w:r>
      <w:r w:rsidR="001076AC" w:rsidRPr="00AE4230">
        <w:rPr>
          <w:rFonts w:ascii="Arial" w:eastAsia="Calibri" w:hAnsi="Arial" w:cs="Arial"/>
          <w:sz w:val="24"/>
          <w:szCs w:val="24"/>
          <w:lang w:eastAsia="en-US"/>
        </w:rPr>
        <w:t>1. März 2022</w:t>
      </w:r>
      <w:r w:rsidR="001076AC" w:rsidRPr="003F7DCF">
        <w:rPr>
          <w:rFonts w:ascii="Arial" w:eastAsia="Calibri" w:hAnsi="Arial" w:cs="Arial"/>
          <w:sz w:val="24"/>
          <w:szCs w:val="24"/>
          <w:lang w:eastAsia="en-US"/>
        </w:rPr>
        <w:t xml:space="preserve"> in die</w:t>
      </w:r>
      <w:r w:rsidR="001076AC" w:rsidRPr="001076AC">
        <w:rPr>
          <w:rFonts w:ascii="Arial" w:eastAsia="Calibri" w:hAnsi="Arial" w:cs="Arial"/>
          <w:sz w:val="24"/>
          <w:szCs w:val="24"/>
          <w:lang w:eastAsia="en-US"/>
        </w:rPr>
        <w:t xml:space="preserve"> Besoldungsgruppe A 5 übergeleitet.</w:t>
      </w:r>
    </w:p>
    <w:p w14:paraId="00556845" w14:textId="77777777" w:rsidR="00B30771" w:rsidRPr="0024579F" w:rsidRDefault="00B30771" w:rsidP="00D52B82">
      <w:pPr>
        <w:overflowPunct/>
        <w:spacing w:line="276" w:lineRule="auto"/>
        <w:jc w:val="both"/>
        <w:textAlignment w:val="auto"/>
        <w:rPr>
          <w:rFonts w:ascii="Arial" w:eastAsia="Calibri" w:hAnsi="Arial" w:cs="Arial"/>
          <w:sz w:val="24"/>
          <w:szCs w:val="24"/>
          <w:lang w:eastAsia="en-US"/>
        </w:rPr>
      </w:pPr>
    </w:p>
    <w:p w14:paraId="1C4D91AA" w14:textId="3A85989E" w:rsidR="008D5F71" w:rsidRPr="0024579F" w:rsidRDefault="001C3A47" w:rsidP="00D52B8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bb) </w:t>
      </w:r>
      <w:r w:rsidR="006952EC">
        <w:rPr>
          <w:rFonts w:ascii="Arial" w:eastAsia="Calibri" w:hAnsi="Arial" w:cs="Arial"/>
          <w:sz w:val="24"/>
          <w:szCs w:val="24"/>
          <w:lang w:eastAsia="en-US"/>
        </w:rPr>
        <w:t>I</w:t>
      </w:r>
      <w:r w:rsidR="00311B46" w:rsidRPr="0024579F">
        <w:rPr>
          <w:rFonts w:ascii="Arial" w:eastAsia="Calibri" w:hAnsi="Arial" w:cs="Arial"/>
          <w:sz w:val="24"/>
          <w:szCs w:val="24"/>
          <w:lang w:eastAsia="en-US"/>
        </w:rPr>
        <w:t xml:space="preserve">n den verfahrensgegenständlichen Jahren </w:t>
      </w:r>
      <w:r w:rsidR="006952EC">
        <w:rPr>
          <w:rFonts w:ascii="Arial" w:eastAsia="Calibri" w:hAnsi="Arial" w:cs="Arial"/>
          <w:sz w:val="24"/>
          <w:szCs w:val="24"/>
          <w:lang w:eastAsia="en-US"/>
        </w:rPr>
        <w:t xml:space="preserve">folgt </w:t>
      </w:r>
      <w:r w:rsidR="006952EC" w:rsidRPr="00934904">
        <w:rPr>
          <w:rFonts w:ascii="Arial" w:eastAsia="Calibri" w:hAnsi="Arial" w:cs="Arial"/>
          <w:sz w:val="24"/>
          <w:szCs w:val="24"/>
          <w:lang w:eastAsia="en-US"/>
        </w:rPr>
        <w:t xml:space="preserve">die indizielle Bedeutung aus der Missachtung des gebotenen Mindestabstands </w:t>
      </w:r>
      <w:r w:rsidR="006D6D7B" w:rsidRPr="0024579F">
        <w:rPr>
          <w:rFonts w:ascii="Arial" w:eastAsia="Calibri" w:hAnsi="Arial" w:cs="Arial"/>
          <w:sz w:val="24"/>
          <w:szCs w:val="24"/>
          <w:lang w:eastAsia="en-US"/>
        </w:rPr>
        <w:t xml:space="preserve">der untersten Besoldungsgruppe zum </w:t>
      </w:r>
      <w:r w:rsidR="00033ED9">
        <w:rPr>
          <w:rFonts w:ascii="Arial" w:eastAsia="Calibri" w:hAnsi="Arial" w:cs="Arial"/>
          <w:sz w:val="24"/>
          <w:szCs w:val="24"/>
          <w:lang w:eastAsia="en-US"/>
        </w:rPr>
        <w:t>Grund</w:t>
      </w:r>
      <w:r w:rsidR="0015710D">
        <w:rPr>
          <w:rFonts w:ascii="Arial" w:eastAsia="Calibri" w:hAnsi="Arial" w:cs="Arial"/>
          <w:sz w:val="24"/>
          <w:szCs w:val="24"/>
          <w:lang w:eastAsia="en-US"/>
        </w:rPr>
        <w:t>s</w:t>
      </w:r>
      <w:r w:rsidR="00033ED9">
        <w:rPr>
          <w:rFonts w:ascii="Arial" w:eastAsia="Calibri" w:hAnsi="Arial" w:cs="Arial"/>
          <w:sz w:val="24"/>
          <w:szCs w:val="24"/>
          <w:lang w:eastAsia="en-US"/>
        </w:rPr>
        <w:t>ischerungs</w:t>
      </w:r>
      <w:r w:rsidR="006D6D7B" w:rsidRPr="0024579F">
        <w:rPr>
          <w:rFonts w:ascii="Arial" w:eastAsia="Calibri" w:hAnsi="Arial" w:cs="Arial"/>
          <w:sz w:val="24"/>
          <w:szCs w:val="24"/>
          <w:lang w:eastAsia="en-US"/>
        </w:rPr>
        <w:t>niveau</w:t>
      </w:r>
      <w:r w:rsidR="00311B46" w:rsidRPr="0024579F">
        <w:rPr>
          <w:rFonts w:ascii="Arial" w:eastAsia="Calibri" w:hAnsi="Arial" w:cs="Arial"/>
          <w:sz w:val="24"/>
          <w:szCs w:val="24"/>
          <w:lang w:eastAsia="en-US"/>
        </w:rPr>
        <w:t xml:space="preserve">. </w:t>
      </w:r>
      <w:r w:rsidR="00311B46" w:rsidRPr="000E77F1">
        <w:rPr>
          <w:rFonts w:ascii="Arial" w:eastAsia="Calibri" w:hAnsi="Arial" w:cs="Arial"/>
          <w:sz w:val="24"/>
          <w:szCs w:val="24"/>
          <w:lang w:eastAsia="en-US"/>
        </w:rPr>
        <w:t xml:space="preserve">Der gebotene Abstand zum Grundsicherungsniveau wurde </w:t>
      </w:r>
      <w:r w:rsidR="006F4812" w:rsidRPr="000E77F1">
        <w:rPr>
          <w:rFonts w:ascii="Arial" w:eastAsia="Calibri" w:hAnsi="Arial" w:cs="Arial"/>
          <w:sz w:val="24"/>
          <w:szCs w:val="24"/>
          <w:lang w:eastAsia="en-US"/>
        </w:rPr>
        <w:t>auch</w:t>
      </w:r>
      <w:r w:rsidR="006F4812" w:rsidRPr="0024579F">
        <w:rPr>
          <w:rFonts w:ascii="Arial" w:eastAsia="Calibri" w:hAnsi="Arial" w:cs="Arial"/>
          <w:sz w:val="24"/>
          <w:szCs w:val="24"/>
          <w:lang w:eastAsia="en-US"/>
        </w:rPr>
        <w:t xml:space="preserve"> in den </w:t>
      </w:r>
      <w:r w:rsidR="006F4812" w:rsidRPr="0024579F">
        <w:rPr>
          <w:rFonts w:ascii="Arial" w:eastAsia="Calibri" w:hAnsi="Arial" w:cs="Arial"/>
          <w:sz w:val="24"/>
          <w:szCs w:val="24"/>
          <w:lang w:eastAsia="en-US"/>
        </w:rPr>
        <w:lastRenderedPageBreak/>
        <w:t xml:space="preserve">Jahren 2016 bis 2020 </w:t>
      </w:r>
      <w:r w:rsidR="00311B46" w:rsidRPr="0024579F">
        <w:rPr>
          <w:rFonts w:ascii="Arial" w:eastAsia="Calibri" w:hAnsi="Arial" w:cs="Arial"/>
          <w:sz w:val="24"/>
          <w:szCs w:val="24"/>
          <w:lang w:eastAsia="en-US"/>
        </w:rPr>
        <w:t>durchgehend für die jeweils unterste Besoldungsgruppe bei weitem unterschritten.</w:t>
      </w:r>
      <w:r w:rsidR="00D9699A">
        <w:rPr>
          <w:rFonts w:ascii="Arial" w:eastAsia="Calibri" w:hAnsi="Arial" w:cs="Arial"/>
          <w:sz w:val="24"/>
          <w:szCs w:val="24"/>
          <w:lang w:eastAsia="en-US"/>
        </w:rPr>
        <w:t xml:space="preserve"> </w:t>
      </w:r>
      <w:r w:rsidR="0015710D">
        <w:rPr>
          <w:rFonts w:ascii="Arial" w:eastAsia="Calibri" w:hAnsi="Arial" w:cs="Arial"/>
          <w:sz w:val="24"/>
          <w:szCs w:val="24"/>
          <w:lang w:eastAsia="en-US"/>
        </w:rPr>
        <w:t>B</w:t>
      </w:r>
      <w:r w:rsidR="00D9699A" w:rsidRPr="00D9699A">
        <w:rPr>
          <w:rFonts w:ascii="Arial" w:eastAsia="Calibri" w:hAnsi="Arial" w:cs="Arial"/>
          <w:sz w:val="24"/>
          <w:szCs w:val="24"/>
          <w:lang w:eastAsia="en-US"/>
        </w:rPr>
        <w:t>ei Zugrundelegung einer gerade noch verfassungsgemäßen Besoldung in der untersten Besoldungsgruppe verringert sich der</w:t>
      </w:r>
      <w:r w:rsidR="00E42028">
        <w:rPr>
          <w:rFonts w:ascii="Arial" w:eastAsia="Calibri" w:hAnsi="Arial" w:cs="Arial"/>
          <w:sz w:val="24"/>
          <w:szCs w:val="24"/>
          <w:lang w:eastAsia="en-US"/>
        </w:rPr>
        <w:t xml:space="preserve"> über Jahre abgebaute </w:t>
      </w:r>
      <w:r w:rsidR="00D9699A" w:rsidRPr="00D9699A">
        <w:rPr>
          <w:rFonts w:ascii="Arial" w:eastAsia="Calibri" w:hAnsi="Arial" w:cs="Arial"/>
          <w:sz w:val="24"/>
          <w:szCs w:val="24"/>
          <w:lang w:eastAsia="en-US"/>
        </w:rPr>
        <w:t xml:space="preserve">Abstand zur R-Besoldung </w:t>
      </w:r>
      <w:r w:rsidR="00E42028">
        <w:rPr>
          <w:rFonts w:ascii="Arial" w:eastAsia="Calibri" w:hAnsi="Arial" w:cs="Arial"/>
          <w:sz w:val="24"/>
          <w:szCs w:val="24"/>
          <w:lang w:eastAsia="en-US"/>
        </w:rPr>
        <w:t>nochmals</w:t>
      </w:r>
      <w:r w:rsidR="00D9699A" w:rsidRPr="00D9699A">
        <w:rPr>
          <w:rFonts w:ascii="Arial" w:eastAsia="Calibri" w:hAnsi="Arial" w:cs="Arial"/>
          <w:sz w:val="24"/>
          <w:szCs w:val="24"/>
          <w:lang w:eastAsia="en-US"/>
        </w:rPr>
        <w:t>.</w:t>
      </w:r>
    </w:p>
    <w:p w14:paraId="4003BF34" w14:textId="77777777" w:rsidR="00311B46" w:rsidRPr="00DA4917" w:rsidRDefault="00311B46" w:rsidP="00D52B82">
      <w:pPr>
        <w:overflowPunct/>
        <w:spacing w:line="276" w:lineRule="auto"/>
        <w:jc w:val="both"/>
        <w:textAlignment w:val="auto"/>
        <w:rPr>
          <w:rFonts w:ascii="Arial" w:eastAsia="Calibri" w:hAnsi="Arial" w:cs="Arial"/>
          <w:sz w:val="24"/>
          <w:szCs w:val="24"/>
          <w:lang w:eastAsia="en-US"/>
        </w:rPr>
      </w:pPr>
    </w:p>
    <w:p w14:paraId="5AD4C7B2" w14:textId="71B3E72D" w:rsidR="00311B46" w:rsidRPr="00426F3A" w:rsidRDefault="001C3A47" w:rsidP="00D52B82">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(1</w:t>
      </w:r>
      <w:r w:rsidR="00311B46" w:rsidRPr="00DA4917">
        <w:rPr>
          <w:rFonts w:ascii="Arial" w:eastAsia="Calibri" w:hAnsi="Arial" w:cs="Arial"/>
          <w:sz w:val="24"/>
          <w:szCs w:val="24"/>
          <w:lang w:eastAsia="en-US"/>
        </w:rPr>
        <w:t xml:space="preserve">) </w:t>
      </w:r>
      <w:r w:rsidR="00037053" w:rsidRPr="00DA4917">
        <w:rPr>
          <w:rFonts w:ascii="Arial" w:eastAsia="Calibri" w:hAnsi="Arial" w:cs="Arial"/>
          <w:sz w:val="24"/>
          <w:szCs w:val="24"/>
          <w:lang w:eastAsia="en-US"/>
        </w:rPr>
        <w:t>Ermittelt man die</w:t>
      </w:r>
      <w:r w:rsidR="00EA54E7" w:rsidRPr="00DA4917">
        <w:rPr>
          <w:rFonts w:ascii="Arial" w:eastAsia="Calibri" w:hAnsi="Arial" w:cs="Arial"/>
          <w:sz w:val="24"/>
          <w:szCs w:val="24"/>
          <w:lang w:eastAsia="en-US"/>
        </w:rPr>
        <w:t xml:space="preserve"> </w:t>
      </w:r>
      <w:r w:rsidR="00311B46" w:rsidRPr="00DA4917">
        <w:rPr>
          <w:rFonts w:ascii="Arial" w:eastAsia="Calibri" w:hAnsi="Arial" w:cs="Arial"/>
          <w:sz w:val="24"/>
          <w:szCs w:val="24"/>
          <w:lang w:eastAsia="en-US"/>
        </w:rPr>
        <w:t xml:space="preserve">Regelsätze der Grundsicherung </w:t>
      </w:r>
      <w:r w:rsidR="00891FCD" w:rsidRPr="00DA4917">
        <w:rPr>
          <w:rFonts w:ascii="Arial" w:eastAsia="Calibri" w:hAnsi="Arial" w:cs="Arial"/>
          <w:sz w:val="24"/>
          <w:szCs w:val="24"/>
          <w:lang w:eastAsia="en-US"/>
        </w:rPr>
        <w:t>entspr</w:t>
      </w:r>
      <w:r w:rsidR="00037053" w:rsidRPr="00DA4917">
        <w:rPr>
          <w:rFonts w:ascii="Arial" w:eastAsia="Calibri" w:hAnsi="Arial" w:cs="Arial"/>
          <w:sz w:val="24"/>
          <w:szCs w:val="24"/>
          <w:lang w:eastAsia="en-US"/>
        </w:rPr>
        <w:t>echend</w:t>
      </w:r>
      <w:r w:rsidR="00891FCD" w:rsidRPr="00DA4917">
        <w:rPr>
          <w:rFonts w:ascii="Arial" w:eastAsia="Calibri" w:hAnsi="Arial" w:cs="Arial"/>
          <w:sz w:val="24"/>
          <w:szCs w:val="24"/>
          <w:lang w:eastAsia="en-US"/>
        </w:rPr>
        <w:t xml:space="preserve"> den Ausführungen des Bundesverfassungsgerichts in dem Beschluss vom 4. Mai 2020 </w:t>
      </w:r>
      <w:r w:rsidR="000E77F1">
        <w:rPr>
          <w:rFonts w:ascii="Arial" w:eastAsia="Calibri" w:hAnsi="Arial" w:cs="Arial"/>
          <w:sz w:val="24"/>
          <w:szCs w:val="24"/>
          <w:lang w:eastAsia="en-US"/>
        </w:rPr>
        <w:t>(2 BvL 4/18)</w:t>
      </w:r>
      <w:r w:rsidR="000E77F1" w:rsidRPr="00DA4917">
        <w:rPr>
          <w:rFonts w:ascii="Arial" w:eastAsia="Calibri" w:hAnsi="Arial" w:cs="Arial"/>
          <w:sz w:val="24"/>
          <w:szCs w:val="24"/>
          <w:lang w:eastAsia="en-US"/>
        </w:rPr>
        <w:t xml:space="preserve"> </w:t>
      </w:r>
      <w:r w:rsidR="00891FCD" w:rsidRPr="00DA4917">
        <w:rPr>
          <w:rFonts w:ascii="Arial" w:eastAsia="Calibri" w:hAnsi="Arial" w:cs="Arial"/>
          <w:sz w:val="24"/>
          <w:szCs w:val="24"/>
          <w:lang w:eastAsia="en-US"/>
        </w:rPr>
        <w:t>und</w:t>
      </w:r>
      <w:r w:rsidR="00311B46" w:rsidRPr="00DA4917">
        <w:rPr>
          <w:rFonts w:ascii="Arial" w:eastAsia="Calibri" w:hAnsi="Arial" w:cs="Arial"/>
          <w:sz w:val="24"/>
          <w:szCs w:val="24"/>
          <w:lang w:eastAsia="en-US"/>
        </w:rPr>
        <w:t xml:space="preserve"> </w:t>
      </w:r>
      <w:r w:rsidR="00891FCD" w:rsidRPr="00DA4917">
        <w:rPr>
          <w:rFonts w:ascii="Arial" w:eastAsia="Calibri" w:hAnsi="Arial" w:cs="Arial"/>
          <w:sz w:val="24"/>
          <w:szCs w:val="24"/>
          <w:lang w:eastAsia="en-US"/>
        </w:rPr>
        <w:t xml:space="preserve">der </w:t>
      </w:r>
      <w:r w:rsidR="00891FCD">
        <w:rPr>
          <w:rFonts w:ascii="Arial" w:eastAsia="Calibri" w:hAnsi="Arial" w:cs="Arial"/>
          <w:sz w:val="24"/>
          <w:szCs w:val="24"/>
          <w:lang w:eastAsia="en-US"/>
        </w:rPr>
        <w:t xml:space="preserve">Berechnungsweise des </w:t>
      </w:r>
      <w:r w:rsidR="00311B46" w:rsidRPr="00EA54E7">
        <w:rPr>
          <w:rFonts w:ascii="Arial" w:eastAsia="Calibri" w:hAnsi="Arial" w:cs="Arial"/>
          <w:sz w:val="24"/>
          <w:szCs w:val="24"/>
          <w:lang w:eastAsia="en-US"/>
        </w:rPr>
        <w:t>Vorlagebeschluss</w:t>
      </w:r>
      <w:r>
        <w:rPr>
          <w:rFonts w:ascii="Arial" w:eastAsia="Calibri" w:hAnsi="Arial" w:cs="Arial"/>
          <w:sz w:val="24"/>
          <w:szCs w:val="24"/>
          <w:lang w:eastAsia="en-US"/>
        </w:rPr>
        <w:t>es</w:t>
      </w:r>
      <w:r w:rsidR="00311B46" w:rsidRPr="00EA54E7">
        <w:rPr>
          <w:rFonts w:ascii="Arial" w:eastAsia="Calibri" w:hAnsi="Arial" w:cs="Arial"/>
          <w:sz w:val="24"/>
          <w:szCs w:val="24"/>
          <w:lang w:eastAsia="en-US"/>
        </w:rPr>
        <w:t xml:space="preserve"> </w:t>
      </w:r>
      <w:r w:rsidR="00891FCD">
        <w:rPr>
          <w:rFonts w:ascii="Arial" w:eastAsia="Calibri" w:hAnsi="Arial" w:cs="Arial"/>
          <w:sz w:val="24"/>
          <w:szCs w:val="24"/>
          <w:lang w:eastAsia="en-US"/>
        </w:rPr>
        <w:t xml:space="preserve">des Bundesverwaltungsgerichts vom 22. September 2017 </w:t>
      </w:r>
      <w:bookmarkStart w:id="24" w:name="_Hlk89078402"/>
      <w:r w:rsidR="00891FCD" w:rsidRPr="000E77F1">
        <w:rPr>
          <w:rFonts w:ascii="Arial" w:eastAsia="Calibri" w:hAnsi="Arial" w:cs="Arial"/>
          <w:sz w:val="24"/>
          <w:szCs w:val="24"/>
          <w:lang w:eastAsia="en-US"/>
        </w:rPr>
        <w:t>(</w:t>
      </w:r>
      <w:r w:rsidR="00FD3FBD" w:rsidRPr="000E77F1">
        <w:rPr>
          <w:rFonts w:ascii="Arial" w:eastAsia="Calibri" w:hAnsi="Arial" w:cs="Arial"/>
          <w:sz w:val="24"/>
          <w:szCs w:val="24"/>
          <w:lang w:eastAsia="en-US"/>
        </w:rPr>
        <w:t>2 C 56.16 u.a.</w:t>
      </w:r>
      <w:r w:rsidR="00F734EF" w:rsidRPr="000E77F1">
        <w:rPr>
          <w:rFonts w:ascii="Arial" w:eastAsia="Calibri" w:hAnsi="Arial" w:cs="Arial"/>
          <w:sz w:val="24"/>
          <w:szCs w:val="24"/>
          <w:lang w:eastAsia="en-US"/>
        </w:rPr>
        <w:t>)</w:t>
      </w:r>
      <w:bookmarkEnd w:id="24"/>
      <w:r w:rsidR="000275A6" w:rsidRPr="000E77F1">
        <w:rPr>
          <w:rFonts w:ascii="Arial" w:eastAsia="Calibri" w:hAnsi="Arial" w:cs="Arial"/>
          <w:sz w:val="24"/>
          <w:szCs w:val="24"/>
          <w:lang w:eastAsia="en-US"/>
        </w:rPr>
        <w:t>,</w:t>
      </w:r>
      <w:r w:rsidR="00037053">
        <w:rPr>
          <w:rFonts w:ascii="Arial" w:eastAsia="Calibri" w:hAnsi="Arial" w:cs="Arial"/>
          <w:sz w:val="24"/>
          <w:szCs w:val="24"/>
          <w:lang w:eastAsia="en-US"/>
        </w:rPr>
        <w:t xml:space="preserve"> so beliefen sich d</w:t>
      </w:r>
      <w:r w:rsidR="00311B46" w:rsidRPr="00311B46">
        <w:rPr>
          <w:rFonts w:ascii="Arial" w:eastAsia="Calibri" w:hAnsi="Arial" w:cs="Arial"/>
          <w:sz w:val="24"/>
          <w:szCs w:val="24"/>
          <w:lang w:eastAsia="en-US"/>
        </w:rPr>
        <w:t xml:space="preserve">er grundsicherungsrechtliche Gesamtbedarf </w:t>
      </w:r>
      <w:r w:rsidR="00311B46" w:rsidRPr="00426F3A">
        <w:rPr>
          <w:rFonts w:ascii="Arial" w:eastAsia="Calibri" w:hAnsi="Arial" w:cs="Arial"/>
          <w:sz w:val="24"/>
          <w:szCs w:val="24"/>
          <w:lang w:eastAsia="en-US"/>
        </w:rPr>
        <w:t>und die davon abgeleitete Mindestalimentation danach auf die folgenden Beträge:</w:t>
      </w:r>
    </w:p>
    <w:p w14:paraId="5E417692" w14:textId="1740C593" w:rsidR="00D11407" w:rsidRDefault="00D11407" w:rsidP="00D52B82">
      <w:pPr>
        <w:overflowPunct/>
        <w:spacing w:line="276" w:lineRule="auto"/>
        <w:textAlignment w:val="auto"/>
        <w:rPr>
          <w:rFonts w:ascii="Arial" w:eastAsia="Calibri" w:hAnsi="Arial" w:cs="Arial"/>
          <w:sz w:val="24"/>
          <w:szCs w:val="24"/>
          <w:lang w:eastAsia="en-US"/>
        </w:rPr>
      </w:pPr>
    </w:p>
    <w:tbl>
      <w:tblPr>
        <w:tblW w:w="9781" w:type="dxa"/>
        <w:tblInd w:w="119" w:type="dxa"/>
        <w:tblCellMar>
          <w:left w:w="70" w:type="dxa"/>
          <w:right w:w="70" w:type="dxa"/>
        </w:tblCellMar>
        <w:tblLook w:val="04A0" w:firstRow="1" w:lastRow="0" w:firstColumn="1" w:lastColumn="0" w:noHBand="0" w:noVBand="1"/>
      </w:tblPr>
      <w:tblGrid>
        <w:gridCol w:w="2552"/>
        <w:gridCol w:w="1417"/>
        <w:gridCol w:w="1418"/>
        <w:gridCol w:w="1559"/>
        <w:gridCol w:w="1417"/>
        <w:gridCol w:w="1418"/>
      </w:tblGrid>
      <w:tr w:rsidR="00FF19F9" w:rsidRPr="00FF19F9" w14:paraId="139C5EFB" w14:textId="77777777" w:rsidTr="004A33A2">
        <w:trPr>
          <w:trHeight w:val="312"/>
        </w:trPr>
        <w:tc>
          <w:tcPr>
            <w:tcW w:w="2552" w:type="dxa"/>
            <w:tcBorders>
              <w:top w:val="double" w:sz="6" w:space="0" w:color="auto"/>
              <w:left w:val="double" w:sz="6" w:space="0" w:color="auto"/>
              <w:bottom w:val="single" w:sz="8" w:space="0" w:color="auto"/>
              <w:right w:val="single" w:sz="4" w:space="0" w:color="auto"/>
            </w:tcBorders>
            <w:shd w:val="clear" w:color="auto" w:fill="auto"/>
            <w:noWrap/>
            <w:vAlign w:val="bottom"/>
            <w:hideMark/>
          </w:tcPr>
          <w:p w14:paraId="57255B81" w14:textId="77777777" w:rsidR="00FF19F9" w:rsidRPr="00FF19F9" w:rsidRDefault="00FF19F9" w:rsidP="00FF19F9">
            <w:pPr>
              <w:overflowPunct/>
              <w:autoSpaceDE/>
              <w:autoSpaceDN/>
              <w:adjustRightInd/>
              <w:textAlignment w:val="auto"/>
              <w:rPr>
                <w:rFonts w:ascii="Arial" w:hAnsi="Arial" w:cs="Arial"/>
                <w:color w:val="000000"/>
              </w:rPr>
            </w:pPr>
            <w:r w:rsidRPr="00FF19F9">
              <w:rPr>
                <w:rFonts w:ascii="Arial" w:hAnsi="Arial" w:cs="Arial"/>
                <w:color w:val="000000"/>
              </w:rPr>
              <w:t> </w:t>
            </w:r>
          </w:p>
        </w:tc>
        <w:tc>
          <w:tcPr>
            <w:tcW w:w="1417" w:type="dxa"/>
            <w:tcBorders>
              <w:top w:val="double" w:sz="6" w:space="0" w:color="auto"/>
              <w:left w:val="nil"/>
              <w:bottom w:val="single" w:sz="8" w:space="0" w:color="auto"/>
              <w:right w:val="single" w:sz="4" w:space="0" w:color="auto"/>
            </w:tcBorders>
            <w:shd w:val="clear" w:color="auto" w:fill="auto"/>
            <w:noWrap/>
            <w:vAlign w:val="bottom"/>
            <w:hideMark/>
          </w:tcPr>
          <w:p w14:paraId="4F34396E" w14:textId="77777777" w:rsidR="00FF19F9" w:rsidRPr="00FF19F9" w:rsidRDefault="00FF19F9" w:rsidP="00C23215">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2016</w:t>
            </w:r>
          </w:p>
        </w:tc>
        <w:tc>
          <w:tcPr>
            <w:tcW w:w="1418" w:type="dxa"/>
            <w:tcBorders>
              <w:top w:val="double" w:sz="6" w:space="0" w:color="auto"/>
              <w:left w:val="nil"/>
              <w:bottom w:val="single" w:sz="8" w:space="0" w:color="auto"/>
              <w:right w:val="single" w:sz="4" w:space="0" w:color="auto"/>
            </w:tcBorders>
            <w:shd w:val="clear" w:color="auto" w:fill="auto"/>
            <w:noWrap/>
            <w:vAlign w:val="bottom"/>
            <w:hideMark/>
          </w:tcPr>
          <w:p w14:paraId="218C1B70" w14:textId="77777777" w:rsidR="00FF19F9" w:rsidRPr="00FF19F9" w:rsidRDefault="00FF19F9" w:rsidP="00C23215">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2017</w:t>
            </w:r>
          </w:p>
        </w:tc>
        <w:tc>
          <w:tcPr>
            <w:tcW w:w="1559" w:type="dxa"/>
            <w:tcBorders>
              <w:top w:val="double" w:sz="6" w:space="0" w:color="auto"/>
              <w:left w:val="nil"/>
              <w:bottom w:val="single" w:sz="8" w:space="0" w:color="auto"/>
              <w:right w:val="single" w:sz="4" w:space="0" w:color="auto"/>
            </w:tcBorders>
            <w:shd w:val="clear" w:color="auto" w:fill="auto"/>
            <w:noWrap/>
            <w:vAlign w:val="bottom"/>
            <w:hideMark/>
          </w:tcPr>
          <w:p w14:paraId="17054F70" w14:textId="77777777" w:rsidR="00FF19F9" w:rsidRPr="00FF19F9" w:rsidRDefault="00FF19F9" w:rsidP="00C23215">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2018</w:t>
            </w:r>
          </w:p>
        </w:tc>
        <w:tc>
          <w:tcPr>
            <w:tcW w:w="1417" w:type="dxa"/>
            <w:tcBorders>
              <w:top w:val="double" w:sz="6" w:space="0" w:color="auto"/>
              <w:left w:val="nil"/>
              <w:bottom w:val="single" w:sz="8" w:space="0" w:color="auto"/>
              <w:right w:val="single" w:sz="4" w:space="0" w:color="auto"/>
            </w:tcBorders>
            <w:shd w:val="clear" w:color="auto" w:fill="auto"/>
            <w:noWrap/>
            <w:vAlign w:val="bottom"/>
            <w:hideMark/>
          </w:tcPr>
          <w:p w14:paraId="41C5348F" w14:textId="77777777" w:rsidR="00FF19F9" w:rsidRPr="00FF19F9" w:rsidRDefault="00FF19F9" w:rsidP="00C23215">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2019</w:t>
            </w:r>
          </w:p>
        </w:tc>
        <w:tc>
          <w:tcPr>
            <w:tcW w:w="1418" w:type="dxa"/>
            <w:tcBorders>
              <w:top w:val="double" w:sz="6" w:space="0" w:color="auto"/>
              <w:left w:val="nil"/>
              <w:bottom w:val="single" w:sz="8" w:space="0" w:color="auto"/>
              <w:right w:val="double" w:sz="6" w:space="0" w:color="auto"/>
            </w:tcBorders>
            <w:shd w:val="clear" w:color="auto" w:fill="auto"/>
            <w:noWrap/>
            <w:vAlign w:val="bottom"/>
            <w:hideMark/>
          </w:tcPr>
          <w:p w14:paraId="457E269E" w14:textId="77777777" w:rsidR="00FF19F9" w:rsidRPr="00FF19F9" w:rsidRDefault="00FF19F9" w:rsidP="00C23215">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2020</w:t>
            </w:r>
          </w:p>
        </w:tc>
      </w:tr>
      <w:tr w:rsidR="00FF19F9" w:rsidRPr="00FF19F9" w14:paraId="6FC6488D" w14:textId="77777777" w:rsidTr="004A33A2">
        <w:trPr>
          <w:trHeight w:val="300"/>
        </w:trPr>
        <w:tc>
          <w:tcPr>
            <w:tcW w:w="9781" w:type="dxa"/>
            <w:gridSpan w:val="6"/>
            <w:tcBorders>
              <w:top w:val="single" w:sz="8" w:space="0" w:color="auto"/>
              <w:left w:val="double" w:sz="6" w:space="0" w:color="auto"/>
              <w:bottom w:val="single" w:sz="8" w:space="0" w:color="auto"/>
              <w:right w:val="double" w:sz="6" w:space="0" w:color="000000"/>
            </w:tcBorders>
            <w:shd w:val="clear" w:color="auto" w:fill="auto"/>
            <w:noWrap/>
            <w:vAlign w:val="bottom"/>
            <w:hideMark/>
          </w:tcPr>
          <w:p w14:paraId="70F48604" w14:textId="77777777" w:rsidR="00FF19F9" w:rsidRPr="00FF19F9" w:rsidRDefault="00FF19F9" w:rsidP="00FF19F9">
            <w:pPr>
              <w:overflowPunct/>
              <w:autoSpaceDE/>
              <w:autoSpaceDN/>
              <w:adjustRightInd/>
              <w:jc w:val="center"/>
              <w:textAlignment w:val="auto"/>
              <w:rPr>
                <w:rFonts w:ascii="Arial" w:hAnsi="Arial" w:cs="Arial"/>
                <w:color w:val="000000"/>
              </w:rPr>
            </w:pPr>
            <w:r w:rsidRPr="00FF19F9">
              <w:rPr>
                <w:rFonts w:ascii="Arial" w:hAnsi="Arial" w:cs="Arial"/>
                <w:b/>
                <w:bCs/>
                <w:color w:val="000000"/>
              </w:rPr>
              <w:t>Grundsicherungsbedarf</w:t>
            </w:r>
          </w:p>
        </w:tc>
      </w:tr>
      <w:tr w:rsidR="00FF19F9" w:rsidRPr="00FF19F9" w14:paraId="27D14E17" w14:textId="77777777" w:rsidTr="004A33A2">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24DA483A"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Regelsätze</w:t>
            </w:r>
          </w:p>
        </w:tc>
        <w:tc>
          <w:tcPr>
            <w:tcW w:w="1417" w:type="dxa"/>
            <w:tcBorders>
              <w:top w:val="nil"/>
              <w:left w:val="nil"/>
              <w:bottom w:val="nil"/>
              <w:right w:val="single" w:sz="4" w:space="0" w:color="auto"/>
            </w:tcBorders>
            <w:shd w:val="clear" w:color="auto" w:fill="auto"/>
            <w:noWrap/>
            <w:vAlign w:val="bottom"/>
            <w:hideMark/>
          </w:tcPr>
          <w:p w14:paraId="6511AE69"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1.262,00 € </w:t>
            </w:r>
          </w:p>
        </w:tc>
        <w:tc>
          <w:tcPr>
            <w:tcW w:w="1418" w:type="dxa"/>
            <w:tcBorders>
              <w:top w:val="nil"/>
              <w:left w:val="nil"/>
              <w:bottom w:val="nil"/>
              <w:right w:val="single" w:sz="4" w:space="0" w:color="auto"/>
            </w:tcBorders>
            <w:shd w:val="clear" w:color="auto" w:fill="auto"/>
            <w:noWrap/>
            <w:vAlign w:val="bottom"/>
            <w:hideMark/>
          </w:tcPr>
          <w:p w14:paraId="725CEE13"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1.290,88 € </w:t>
            </w:r>
          </w:p>
        </w:tc>
        <w:tc>
          <w:tcPr>
            <w:tcW w:w="1559" w:type="dxa"/>
            <w:tcBorders>
              <w:top w:val="nil"/>
              <w:left w:val="nil"/>
              <w:bottom w:val="nil"/>
              <w:right w:val="single" w:sz="4" w:space="0" w:color="auto"/>
            </w:tcBorders>
            <w:shd w:val="clear" w:color="auto" w:fill="auto"/>
            <w:noWrap/>
            <w:vAlign w:val="bottom"/>
            <w:hideMark/>
          </w:tcPr>
          <w:p w14:paraId="7226395F"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1.311,56 € </w:t>
            </w:r>
          </w:p>
        </w:tc>
        <w:tc>
          <w:tcPr>
            <w:tcW w:w="1417" w:type="dxa"/>
            <w:tcBorders>
              <w:top w:val="nil"/>
              <w:left w:val="nil"/>
              <w:bottom w:val="nil"/>
              <w:right w:val="single" w:sz="4" w:space="0" w:color="auto"/>
            </w:tcBorders>
            <w:shd w:val="clear" w:color="auto" w:fill="auto"/>
            <w:noWrap/>
            <w:vAlign w:val="bottom"/>
            <w:hideMark/>
          </w:tcPr>
          <w:p w14:paraId="3F73F60F"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1.338,89 € </w:t>
            </w:r>
          </w:p>
        </w:tc>
        <w:tc>
          <w:tcPr>
            <w:tcW w:w="1418" w:type="dxa"/>
            <w:tcBorders>
              <w:top w:val="nil"/>
              <w:left w:val="nil"/>
              <w:bottom w:val="nil"/>
              <w:right w:val="double" w:sz="6" w:space="0" w:color="auto"/>
            </w:tcBorders>
            <w:shd w:val="clear" w:color="auto" w:fill="auto"/>
            <w:noWrap/>
            <w:vAlign w:val="bottom"/>
            <w:hideMark/>
          </w:tcPr>
          <w:p w14:paraId="5EB383BA"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1.364,22 € </w:t>
            </w:r>
          </w:p>
        </w:tc>
      </w:tr>
      <w:tr w:rsidR="00FF19F9" w:rsidRPr="00FF19F9" w14:paraId="24863C8E" w14:textId="77777777" w:rsidTr="004A33A2">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23AD81D4"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Wohnkosten</w:t>
            </w:r>
          </w:p>
        </w:tc>
        <w:tc>
          <w:tcPr>
            <w:tcW w:w="1417" w:type="dxa"/>
            <w:tcBorders>
              <w:top w:val="nil"/>
              <w:left w:val="nil"/>
              <w:bottom w:val="nil"/>
              <w:right w:val="single" w:sz="4" w:space="0" w:color="auto"/>
            </w:tcBorders>
            <w:shd w:val="clear" w:color="auto" w:fill="auto"/>
            <w:noWrap/>
            <w:vAlign w:val="bottom"/>
            <w:hideMark/>
          </w:tcPr>
          <w:p w14:paraId="525A61B4" w14:textId="77777777" w:rsidR="00FF19F9" w:rsidRPr="00FF19F9" w:rsidRDefault="00FF19F9" w:rsidP="00AB6E47">
            <w:pPr>
              <w:overflowPunct/>
              <w:autoSpaceDE/>
              <w:autoSpaceDN/>
              <w:adjustRightInd/>
              <w:jc w:val="right"/>
              <w:textAlignment w:val="auto"/>
              <w:rPr>
                <w:rFonts w:ascii="Arial" w:hAnsi="Arial" w:cs="Arial"/>
              </w:rPr>
            </w:pPr>
            <w:r w:rsidRPr="00FF19F9">
              <w:rPr>
                <w:rFonts w:ascii="Arial" w:hAnsi="Arial" w:cs="Arial"/>
              </w:rPr>
              <w:t xml:space="preserve">     1.162,92 € </w:t>
            </w:r>
          </w:p>
        </w:tc>
        <w:tc>
          <w:tcPr>
            <w:tcW w:w="1418" w:type="dxa"/>
            <w:tcBorders>
              <w:top w:val="nil"/>
              <w:left w:val="nil"/>
              <w:bottom w:val="nil"/>
              <w:right w:val="single" w:sz="4" w:space="0" w:color="auto"/>
            </w:tcBorders>
            <w:shd w:val="clear" w:color="auto" w:fill="auto"/>
            <w:noWrap/>
            <w:vAlign w:val="bottom"/>
            <w:hideMark/>
          </w:tcPr>
          <w:p w14:paraId="70631F5D" w14:textId="77777777" w:rsidR="00FF19F9" w:rsidRPr="00FF19F9" w:rsidRDefault="00FF19F9" w:rsidP="00AB6E47">
            <w:pPr>
              <w:overflowPunct/>
              <w:autoSpaceDE/>
              <w:autoSpaceDN/>
              <w:adjustRightInd/>
              <w:jc w:val="right"/>
              <w:textAlignment w:val="auto"/>
              <w:rPr>
                <w:rFonts w:ascii="Arial" w:hAnsi="Arial" w:cs="Arial"/>
              </w:rPr>
            </w:pPr>
            <w:r w:rsidRPr="00FF19F9">
              <w:rPr>
                <w:rFonts w:ascii="Arial" w:hAnsi="Arial" w:cs="Arial"/>
              </w:rPr>
              <w:t xml:space="preserve">    1.209,37 € </w:t>
            </w:r>
          </w:p>
        </w:tc>
        <w:tc>
          <w:tcPr>
            <w:tcW w:w="1559" w:type="dxa"/>
            <w:tcBorders>
              <w:top w:val="nil"/>
              <w:left w:val="nil"/>
              <w:bottom w:val="nil"/>
              <w:right w:val="single" w:sz="4" w:space="0" w:color="auto"/>
            </w:tcBorders>
            <w:shd w:val="clear" w:color="auto" w:fill="auto"/>
            <w:noWrap/>
            <w:vAlign w:val="bottom"/>
            <w:hideMark/>
          </w:tcPr>
          <w:p w14:paraId="25B71EFC" w14:textId="77777777" w:rsidR="00FF19F9" w:rsidRPr="00FF19F9" w:rsidRDefault="00FF19F9" w:rsidP="00AB6E47">
            <w:pPr>
              <w:overflowPunct/>
              <w:autoSpaceDE/>
              <w:autoSpaceDN/>
              <w:adjustRightInd/>
              <w:jc w:val="right"/>
              <w:textAlignment w:val="auto"/>
              <w:rPr>
                <w:rFonts w:ascii="Arial" w:hAnsi="Arial" w:cs="Arial"/>
              </w:rPr>
            </w:pPr>
            <w:r w:rsidRPr="00FF19F9">
              <w:rPr>
                <w:rFonts w:ascii="Arial" w:hAnsi="Arial" w:cs="Arial"/>
              </w:rPr>
              <w:t xml:space="preserve">    1.255,83 € </w:t>
            </w:r>
          </w:p>
        </w:tc>
        <w:tc>
          <w:tcPr>
            <w:tcW w:w="1417" w:type="dxa"/>
            <w:tcBorders>
              <w:top w:val="nil"/>
              <w:left w:val="nil"/>
              <w:bottom w:val="nil"/>
              <w:right w:val="single" w:sz="4" w:space="0" w:color="auto"/>
            </w:tcBorders>
            <w:shd w:val="clear" w:color="auto" w:fill="auto"/>
            <w:noWrap/>
            <w:vAlign w:val="bottom"/>
            <w:hideMark/>
          </w:tcPr>
          <w:p w14:paraId="7D2C681C" w14:textId="77777777" w:rsidR="00FF19F9" w:rsidRPr="00FF19F9" w:rsidRDefault="00FF19F9" w:rsidP="00AB6E47">
            <w:pPr>
              <w:overflowPunct/>
              <w:autoSpaceDE/>
              <w:autoSpaceDN/>
              <w:adjustRightInd/>
              <w:jc w:val="right"/>
              <w:textAlignment w:val="auto"/>
              <w:rPr>
                <w:rFonts w:ascii="Arial" w:hAnsi="Arial" w:cs="Arial"/>
              </w:rPr>
            </w:pPr>
            <w:r w:rsidRPr="00FF19F9">
              <w:rPr>
                <w:rFonts w:ascii="Arial" w:hAnsi="Arial" w:cs="Arial"/>
              </w:rPr>
              <w:t xml:space="preserve">    1.300,95 € </w:t>
            </w:r>
          </w:p>
        </w:tc>
        <w:tc>
          <w:tcPr>
            <w:tcW w:w="1418" w:type="dxa"/>
            <w:tcBorders>
              <w:top w:val="nil"/>
              <w:left w:val="nil"/>
              <w:bottom w:val="nil"/>
              <w:right w:val="double" w:sz="6" w:space="0" w:color="auto"/>
            </w:tcBorders>
            <w:shd w:val="clear" w:color="auto" w:fill="auto"/>
            <w:noWrap/>
            <w:vAlign w:val="bottom"/>
            <w:hideMark/>
          </w:tcPr>
          <w:p w14:paraId="2BA2EDB6" w14:textId="77777777" w:rsidR="00FF19F9" w:rsidRPr="00FF19F9" w:rsidRDefault="00FF19F9" w:rsidP="00AB6E47">
            <w:pPr>
              <w:overflowPunct/>
              <w:autoSpaceDE/>
              <w:autoSpaceDN/>
              <w:adjustRightInd/>
              <w:jc w:val="right"/>
              <w:textAlignment w:val="auto"/>
              <w:rPr>
                <w:rFonts w:ascii="Arial" w:hAnsi="Arial" w:cs="Arial"/>
              </w:rPr>
            </w:pPr>
            <w:r w:rsidRPr="00FF19F9">
              <w:rPr>
                <w:rFonts w:ascii="Arial" w:hAnsi="Arial" w:cs="Arial"/>
              </w:rPr>
              <w:t xml:space="preserve">     1.310,15 € </w:t>
            </w:r>
          </w:p>
        </w:tc>
      </w:tr>
      <w:tr w:rsidR="00FF19F9" w:rsidRPr="00FF19F9" w14:paraId="7D3D4AB3" w14:textId="77777777" w:rsidTr="004A33A2">
        <w:trPr>
          <w:trHeight w:val="300"/>
        </w:trPr>
        <w:tc>
          <w:tcPr>
            <w:tcW w:w="2552" w:type="dxa"/>
            <w:tcBorders>
              <w:top w:val="nil"/>
              <w:left w:val="double" w:sz="6" w:space="0" w:color="auto"/>
              <w:bottom w:val="single" w:sz="8" w:space="0" w:color="auto"/>
              <w:right w:val="single" w:sz="4" w:space="0" w:color="auto"/>
            </w:tcBorders>
            <w:shd w:val="clear" w:color="auto" w:fill="D9D9D9" w:themeFill="background1" w:themeFillShade="D9"/>
            <w:noWrap/>
            <w:vAlign w:val="bottom"/>
            <w:hideMark/>
          </w:tcPr>
          <w:p w14:paraId="4CCDDA78"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Bildung und Teilhabe</w:t>
            </w:r>
          </w:p>
        </w:tc>
        <w:tc>
          <w:tcPr>
            <w:tcW w:w="1417" w:type="dxa"/>
            <w:tcBorders>
              <w:top w:val="nil"/>
              <w:left w:val="nil"/>
              <w:bottom w:val="single" w:sz="8" w:space="0" w:color="auto"/>
              <w:right w:val="single" w:sz="4" w:space="0" w:color="auto"/>
            </w:tcBorders>
            <w:shd w:val="clear" w:color="auto" w:fill="auto"/>
            <w:noWrap/>
            <w:vAlign w:val="bottom"/>
            <w:hideMark/>
          </w:tcPr>
          <w:p w14:paraId="104300FE"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74,46 € </w:t>
            </w:r>
          </w:p>
        </w:tc>
        <w:tc>
          <w:tcPr>
            <w:tcW w:w="1418" w:type="dxa"/>
            <w:tcBorders>
              <w:top w:val="nil"/>
              <w:left w:val="nil"/>
              <w:bottom w:val="single" w:sz="8" w:space="0" w:color="auto"/>
              <w:right w:val="single" w:sz="4" w:space="0" w:color="auto"/>
            </w:tcBorders>
            <w:shd w:val="clear" w:color="auto" w:fill="auto"/>
            <w:noWrap/>
            <w:vAlign w:val="bottom"/>
            <w:hideMark/>
          </w:tcPr>
          <w:p w14:paraId="7589CA1D"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74,46 € </w:t>
            </w:r>
          </w:p>
        </w:tc>
        <w:tc>
          <w:tcPr>
            <w:tcW w:w="1559" w:type="dxa"/>
            <w:tcBorders>
              <w:top w:val="nil"/>
              <w:left w:val="nil"/>
              <w:bottom w:val="single" w:sz="8" w:space="0" w:color="auto"/>
              <w:right w:val="single" w:sz="4" w:space="0" w:color="auto"/>
            </w:tcBorders>
            <w:shd w:val="clear" w:color="auto" w:fill="auto"/>
            <w:noWrap/>
            <w:vAlign w:val="bottom"/>
            <w:hideMark/>
          </w:tcPr>
          <w:p w14:paraId="421BC36E"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74,46 € </w:t>
            </w:r>
          </w:p>
        </w:tc>
        <w:tc>
          <w:tcPr>
            <w:tcW w:w="1417" w:type="dxa"/>
            <w:tcBorders>
              <w:top w:val="nil"/>
              <w:left w:val="nil"/>
              <w:bottom w:val="single" w:sz="8" w:space="0" w:color="auto"/>
              <w:right w:val="single" w:sz="4" w:space="0" w:color="auto"/>
            </w:tcBorders>
            <w:shd w:val="clear" w:color="auto" w:fill="auto"/>
            <w:noWrap/>
            <w:vAlign w:val="bottom"/>
            <w:hideMark/>
          </w:tcPr>
          <w:p w14:paraId="3E252768"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78,63 € </w:t>
            </w:r>
          </w:p>
        </w:tc>
        <w:tc>
          <w:tcPr>
            <w:tcW w:w="1418" w:type="dxa"/>
            <w:tcBorders>
              <w:top w:val="nil"/>
              <w:left w:val="nil"/>
              <w:bottom w:val="single" w:sz="8" w:space="0" w:color="auto"/>
              <w:right w:val="double" w:sz="6" w:space="0" w:color="auto"/>
            </w:tcBorders>
            <w:shd w:val="clear" w:color="auto" w:fill="auto"/>
            <w:noWrap/>
            <w:vAlign w:val="bottom"/>
            <w:hideMark/>
          </w:tcPr>
          <w:p w14:paraId="32658F75"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84,46 € </w:t>
            </w:r>
          </w:p>
        </w:tc>
      </w:tr>
      <w:tr w:rsidR="00FF19F9" w:rsidRPr="00FF19F9" w14:paraId="2E9C6A8C" w14:textId="77777777" w:rsidTr="004A33A2">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3367B502"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Monatsbetrag</w:t>
            </w:r>
          </w:p>
        </w:tc>
        <w:tc>
          <w:tcPr>
            <w:tcW w:w="1417" w:type="dxa"/>
            <w:tcBorders>
              <w:top w:val="nil"/>
              <w:left w:val="nil"/>
              <w:bottom w:val="nil"/>
              <w:right w:val="single" w:sz="4" w:space="0" w:color="auto"/>
            </w:tcBorders>
            <w:shd w:val="clear" w:color="auto" w:fill="auto"/>
            <w:noWrap/>
            <w:vAlign w:val="bottom"/>
            <w:hideMark/>
          </w:tcPr>
          <w:p w14:paraId="2C97CA7F"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2.499,38 € </w:t>
            </w:r>
          </w:p>
        </w:tc>
        <w:tc>
          <w:tcPr>
            <w:tcW w:w="1418" w:type="dxa"/>
            <w:tcBorders>
              <w:top w:val="nil"/>
              <w:left w:val="nil"/>
              <w:bottom w:val="nil"/>
              <w:right w:val="single" w:sz="4" w:space="0" w:color="auto"/>
            </w:tcBorders>
            <w:shd w:val="clear" w:color="auto" w:fill="auto"/>
            <w:noWrap/>
            <w:vAlign w:val="bottom"/>
            <w:hideMark/>
          </w:tcPr>
          <w:p w14:paraId="56402986"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2.574,71 € </w:t>
            </w:r>
          </w:p>
        </w:tc>
        <w:tc>
          <w:tcPr>
            <w:tcW w:w="1559" w:type="dxa"/>
            <w:tcBorders>
              <w:top w:val="nil"/>
              <w:left w:val="nil"/>
              <w:bottom w:val="nil"/>
              <w:right w:val="single" w:sz="4" w:space="0" w:color="auto"/>
            </w:tcBorders>
            <w:shd w:val="clear" w:color="auto" w:fill="auto"/>
            <w:noWrap/>
            <w:vAlign w:val="bottom"/>
            <w:hideMark/>
          </w:tcPr>
          <w:p w14:paraId="7685ED24"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2.641,85 € </w:t>
            </w:r>
          </w:p>
        </w:tc>
        <w:tc>
          <w:tcPr>
            <w:tcW w:w="1417" w:type="dxa"/>
            <w:tcBorders>
              <w:top w:val="nil"/>
              <w:left w:val="nil"/>
              <w:bottom w:val="nil"/>
              <w:right w:val="single" w:sz="4" w:space="0" w:color="auto"/>
            </w:tcBorders>
            <w:shd w:val="clear" w:color="auto" w:fill="auto"/>
            <w:noWrap/>
            <w:vAlign w:val="bottom"/>
            <w:hideMark/>
          </w:tcPr>
          <w:p w14:paraId="0AE77AC3"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2.718,47 € </w:t>
            </w:r>
          </w:p>
        </w:tc>
        <w:tc>
          <w:tcPr>
            <w:tcW w:w="1418" w:type="dxa"/>
            <w:tcBorders>
              <w:top w:val="nil"/>
              <w:left w:val="nil"/>
              <w:bottom w:val="nil"/>
              <w:right w:val="double" w:sz="6" w:space="0" w:color="auto"/>
            </w:tcBorders>
            <w:shd w:val="clear" w:color="auto" w:fill="auto"/>
            <w:noWrap/>
            <w:vAlign w:val="bottom"/>
            <w:hideMark/>
          </w:tcPr>
          <w:p w14:paraId="6D5D47E7"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2.758,84 € </w:t>
            </w:r>
          </w:p>
        </w:tc>
      </w:tr>
      <w:tr w:rsidR="00FF19F9" w:rsidRPr="00FF19F9" w14:paraId="0008B3CD" w14:textId="77777777" w:rsidTr="004A33A2">
        <w:trPr>
          <w:trHeight w:val="300"/>
        </w:trPr>
        <w:tc>
          <w:tcPr>
            <w:tcW w:w="2552" w:type="dxa"/>
            <w:tcBorders>
              <w:top w:val="nil"/>
              <w:left w:val="double" w:sz="6" w:space="0" w:color="auto"/>
              <w:bottom w:val="single" w:sz="8" w:space="0" w:color="auto"/>
              <w:right w:val="single" w:sz="4" w:space="0" w:color="auto"/>
            </w:tcBorders>
            <w:shd w:val="clear" w:color="auto" w:fill="D9D9D9" w:themeFill="background1" w:themeFillShade="D9"/>
            <w:noWrap/>
            <w:vAlign w:val="bottom"/>
            <w:hideMark/>
          </w:tcPr>
          <w:p w14:paraId="41B039A0"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Jahresbetrag</w:t>
            </w:r>
          </w:p>
        </w:tc>
        <w:tc>
          <w:tcPr>
            <w:tcW w:w="1417" w:type="dxa"/>
            <w:tcBorders>
              <w:top w:val="nil"/>
              <w:left w:val="nil"/>
              <w:bottom w:val="single" w:sz="8" w:space="0" w:color="auto"/>
              <w:right w:val="single" w:sz="4" w:space="0" w:color="auto"/>
            </w:tcBorders>
            <w:shd w:val="clear" w:color="auto" w:fill="auto"/>
            <w:noWrap/>
            <w:vAlign w:val="bottom"/>
            <w:hideMark/>
          </w:tcPr>
          <w:p w14:paraId="209F94E1"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29.992,56 € </w:t>
            </w:r>
          </w:p>
        </w:tc>
        <w:tc>
          <w:tcPr>
            <w:tcW w:w="1418" w:type="dxa"/>
            <w:tcBorders>
              <w:top w:val="nil"/>
              <w:left w:val="nil"/>
              <w:bottom w:val="single" w:sz="8" w:space="0" w:color="auto"/>
              <w:right w:val="single" w:sz="4" w:space="0" w:color="auto"/>
            </w:tcBorders>
            <w:shd w:val="clear" w:color="auto" w:fill="auto"/>
            <w:noWrap/>
            <w:vAlign w:val="bottom"/>
            <w:hideMark/>
          </w:tcPr>
          <w:p w14:paraId="251F48D7"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30.896,49 € </w:t>
            </w:r>
          </w:p>
        </w:tc>
        <w:tc>
          <w:tcPr>
            <w:tcW w:w="1559" w:type="dxa"/>
            <w:tcBorders>
              <w:top w:val="nil"/>
              <w:left w:val="nil"/>
              <w:bottom w:val="single" w:sz="8" w:space="0" w:color="auto"/>
              <w:right w:val="single" w:sz="4" w:space="0" w:color="auto"/>
            </w:tcBorders>
            <w:shd w:val="clear" w:color="auto" w:fill="auto"/>
            <w:noWrap/>
            <w:vAlign w:val="bottom"/>
            <w:hideMark/>
          </w:tcPr>
          <w:p w14:paraId="3C3A366C"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31.702,15 € </w:t>
            </w:r>
          </w:p>
        </w:tc>
        <w:tc>
          <w:tcPr>
            <w:tcW w:w="1417" w:type="dxa"/>
            <w:tcBorders>
              <w:top w:val="nil"/>
              <w:left w:val="nil"/>
              <w:bottom w:val="single" w:sz="8" w:space="0" w:color="auto"/>
              <w:right w:val="single" w:sz="4" w:space="0" w:color="auto"/>
            </w:tcBorders>
            <w:shd w:val="clear" w:color="auto" w:fill="auto"/>
            <w:noWrap/>
            <w:vAlign w:val="bottom"/>
            <w:hideMark/>
          </w:tcPr>
          <w:p w14:paraId="2046B0AB"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32.621,63 € </w:t>
            </w:r>
          </w:p>
        </w:tc>
        <w:tc>
          <w:tcPr>
            <w:tcW w:w="1418" w:type="dxa"/>
            <w:tcBorders>
              <w:top w:val="nil"/>
              <w:left w:val="nil"/>
              <w:bottom w:val="single" w:sz="8" w:space="0" w:color="auto"/>
              <w:right w:val="double" w:sz="6" w:space="0" w:color="auto"/>
            </w:tcBorders>
            <w:shd w:val="clear" w:color="auto" w:fill="auto"/>
            <w:noWrap/>
            <w:vAlign w:val="bottom"/>
            <w:hideMark/>
          </w:tcPr>
          <w:p w14:paraId="52F44505"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33.106,04 € </w:t>
            </w:r>
          </w:p>
        </w:tc>
      </w:tr>
      <w:tr w:rsidR="00FF19F9" w:rsidRPr="00FF19F9" w14:paraId="6B870971" w14:textId="77777777" w:rsidTr="004A33A2">
        <w:trPr>
          <w:trHeight w:val="300"/>
        </w:trPr>
        <w:tc>
          <w:tcPr>
            <w:tcW w:w="9781" w:type="dxa"/>
            <w:gridSpan w:val="6"/>
            <w:tcBorders>
              <w:top w:val="single" w:sz="8" w:space="0" w:color="auto"/>
              <w:left w:val="double" w:sz="6" w:space="0" w:color="auto"/>
              <w:bottom w:val="single" w:sz="8" w:space="0" w:color="auto"/>
              <w:right w:val="double" w:sz="6" w:space="0" w:color="000000"/>
            </w:tcBorders>
            <w:shd w:val="clear" w:color="auto" w:fill="auto"/>
            <w:noWrap/>
            <w:vAlign w:val="bottom"/>
            <w:hideMark/>
          </w:tcPr>
          <w:p w14:paraId="68E670EC" w14:textId="47B1A073" w:rsidR="00FF19F9" w:rsidRPr="00FF19F9" w:rsidRDefault="00FF19F9" w:rsidP="00FF19F9">
            <w:pPr>
              <w:overflowPunct/>
              <w:autoSpaceDE/>
              <w:autoSpaceDN/>
              <w:adjustRightInd/>
              <w:jc w:val="center"/>
              <w:textAlignment w:val="auto"/>
              <w:rPr>
                <w:rFonts w:ascii="Arial" w:hAnsi="Arial" w:cs="Arial"/>
                <w:b/>
                <w:bCs/>
                <w:color w:val="000000"/>
              </w:rPr>
            </w:pPr>
            <w:r w:rsidRPr="00FF19F9">
              <w:rPr>
                <w:rFonts w:ascii="Arial" w:hAnsi="Arial" w:cs="Arial"/>
                <w:b/>
                <w:bCs/>
                <w:color w:val="000000"/>
              </w:rPr>
              <w:t>Mindestalimentation (115% des Grundsicherungsbedarfs</w:t>
            </w:r>
            <w:r w:rsidR="005A071B">
              <w:rPr>
                <w:rFonts w:ascii="Arial" w:hAnsi="Arial" w:cs="Arial"/>
                <w:b/>
                <w:bCs/>
                <w:color w:val="000000"/>
              </w:rPr>
              <w:t>)</w:t>
            </w:r>
          </w:p>
        </w:tc>
      </w:tr>
      <w:tr w:rsidR="00FF19F9" w:rsidRPr="00FF19F9" w14:paraId="2A6576D2" w14:textId="77777777" w:rsidTr="004A33A2">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36821742"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Monatsbetrag</w:t>
            </w:r>
          </w:p>
        </w:tc>
        <w:tc>
          <w:tcPr>
            <w:tcW w:w="1417" w:type="dxa"/>
            <w:tcBorders>
              <w:top w:val="nil"/>
              <w:left w:val="nil"/>
              <w:bottom w:val="nil"/>
              <w:right w:val="single" w:sz="4" w:space="0" w:color="auto"/>
            </w:tcBorders>
            <w:shd w:val="clear" w:color="auto" w:fill="auto"/>
            <w:noWrap/>
            <w:vAlign w:val="bottom"/>
            <w:hideMark/>
          </w:tcPr>
          <w:p w14:paraId="37C30556"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2.874,29 € </w:t>
            </w:r>
          </w:p>
        </w:tc>
        <w:tc>
          <w:tcPr>
            <w:tcW w:w="1418" w:type="dxa"/>
            <w:tcBorders>
              <w:top w:val="nil"/>
              <w:left w:val="nil"/>
              <w:bottom w:val="nil"/>
              <w:right w:val="single" w:sz="4" w:space="0" w:color="auto"/>
            </w:tcBorders>
            <w:shd w:val="clear" w:color="auto" w:fill="auto"/>
            <w:noWrap/>
            <w:vAlign w:val="bottom"/>
            <w:hideMark/>
          </w:tcPr>
          <w:p w14:paraId="4FB07D39"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2.960,91 € </w:t>
            </w:r>
          </w:p>
        </w:tc>
        <w:tc>
          <w:tcPr>
            <w:tcW w:w="1559" w:type="dxa"/>
            <w:tcBorders>
              <w:top w:val="nil"/>
              <w:left w:val="nil"/>
              <w:bottom w:val="nil"/>
              <w:right w:val="single" w:sz="4" w:space="0" w:color="auto"/>
            </w:tcBorders>
            <w:shd w:val="clear" w:color="auto" w:fill="auto"/>
            <w:noWrap/>
            <w:vAlign w:val="bottom"/>
            <w:hideMark/>
          </w:tcPr>
          <w:p w14:paraId="40C0CA66"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3.038,12 € </w:t>
            </w:r>
          </w:p>
        </w:tc>
        <w:tc>
          <w:tcPr>
            <w:tcW w:w="1417" w:type="dxa"/>
            <w:tcBorders>
              <w:top w:val="nil"/>
              <w:left w:val="nil"/>
              <w:bottom w:val="nil"/>
              <w:right w:val="single" w:sz="4" w:space="0" w:color="auto"/>
            </w:tcBorders>
            <w:shd w:val="clear" w:color="auto" w:fill="auto"/>
            <w:noWrap/>
            <w:vAlign w:val="bottom"/>
            <w:hideMark/>
          </w:tcPr>
          <w:p w14:paraId="3F218AF7"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3.126,24 € </w:t>
            </w:r>
          </w:p>
        </w:tc>
        <w:tc>
          <w:tcPr>
            <w:tcW w:w="1418" w:type="dxa"/>
            <w:tcBorders>
              <w:top w:val="nil"/>
              <w:left w:val="nil"/>
              <w:bottom w:val="nil"/>
              <w:right w:val="double" w:sz="6" w:space="0" w:color="auto"/>
            </w:tcBorders>
            <w:shd w:val="clear" w:color="auto" w:fill="auto"/>
            <w:noWrap/>
            <w:vAlign w:val="bottom"/>
            <w:hideMark/>
          </w:tcPr>
          <w:p w14:paraId="04DCEC64"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3.172,66 € </w:t>
            </w:r>
          </w:p>
        </w:tc>
      </w:tr>
      <w:tr w:rsidR="00FF19F9" w:rsidRPr="00FF19F9" w14:paraId="1F86E301" w14:textId="77777777" w:rsidTr="004A33A2">
        <w:trPr>
          <w:trHeight w:val="300"/>
        </w:trPr>
        <w:tc>
          <w:tcPr>
            <w:tcW w:w="2552"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118C1C80" w14:textId="77777777" w:rsidR="00FF19F9" w:rsidRPr="00FF19F9" w:rsidRDefault="00FF19F9" w:rsidP="00FF19F9">
            <w:pPr>
              <w:overflowPunct/>
              <w:autoSpaceDE/>
              <w:autoSpaceDN/>
              <w:adjustRightInd/>
              <w:textAlignment w:val="auto"/>
              <w:rPr>
                <w:rFonts w:ascii="Arial" w:hAnsi="Arial" w:cs="Arial"/>
                <w:b/>
                <w:bCs/>
                <w:color w:val="000000"/>
              </w:rPr>
            </w:pPr>
            <w:r w:rsidRPr="00FF19F9">
              <w:rPr>
                <w:rFonts w:ascii="Arial" w:hAnsi="Arial" w:cs="Arial"/>
                <w:b/>
                <w:bCs/>
                <w:color w:val="000000"/>
              </w:rPr>
              <w:t>Jahresbetrag</w:t>
            </w:r>
          </w:p>
        </w:tc>
        <w:tc>
          <w:tcPr>
            <w:tcW w:w="1417" w:type="dxa"/>
            <w:tcBorders>
              <w:top w:val="nil"/>
              <w:left w:val="nil"/>
              <w:bottom w:val="double" w:sz="6" w:space="0" w:color="auto"/>
              <w:right w:val="single" w:sz="4" w:space="0" w:color="auto"/>
            </w:tcBorders>
            <w:shd w:val="clear" w:color="auto" w:fill="auto"/>
            <w:noWrap/>
            <w:vAlign w:val="bottom"/>
            <w:hideMark/>
          </w:tcPr>
          <w:p w14:paraId="472E158B"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34.491,44 € </w:t>
            </w:r>
          </w:p>
        </w:tc>
        <w:tc>
          <w:tcPr>
            <w:tcW w:w="1418" w:type="dxa"/>
            <w:tcBorders>
              <w:top w:val="nil"/>
              <w:left w:val="nil"/>
              <w:bottom w:val="double" w:sz="6" w:space="0" w:color="auto"/>
              <w:right w:val="single" w:sz="4" w:space="0" w:color="auto"/>
            </w:tcBorders>
            <w:shd w:val="clear" w:color="auto" w:fill="auto"/>
            <w:noWrap/>
            <w:vAlign w:val="bottom"/>
            <w:hideMark/>
          </w:tcPr>
          <w:p w14:paraId="4DFD546E"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35.530,96 € </w:t>
            </w:r>
          </w:p>
        </w:tc>
        <w:tc>
          <w:tcPr>
            <w:tcW w:w="1559" w:type="dxa"/>
            <w:tcBorders>
              <w:top w:val="nil"/>
              <w:left w:val="nil"/>
              <w:bottom w:val="double" w:sz="6" w:space="0" w:color="auto"/>
              <w:right w:val="single" w:sz="4" w:space="0" w:color="auto"/>
            </w:tcBorders>
            <w:shd w:val="clear" w:color="auto" w:fill="auto"/>
            <w:noWrap/>
            <w:vAlign w:val="bottom"/>
            <w:hideMark/>
          </w:tcPr>
          <w:p w14:paraId="0A9CDF20"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36.457,47 € </w:t>
            </w:r>
          </w:p>
        </w:tc>
        <w:tc>
          <w:tcPr>
            <w:tcW w:w="1417" w:type="dxa"/>
            <w:tcBorders>
              <w:top w:val="nil"/>
              <w:left w:val="nil"/>
              <w:bottom w:val="double" w:sz="6" w:space="0" w:color="auto"/>
              <w:right w:val="single" w:sz="4" w:space="0" w:color="auto"/>
            </w:tcBorders>
            <w:shd w:val="clear" w:color="auto" w:fill="auto"/>
            <w:noWrap/>
            <w:vAlign w:val="bottom"/>
            <w:hideMark/>
          </w:tcPr>
          <w:p w14:paraId="3F2875F6"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37.514,87 € </w:t>
            </w:r>
          </w:p>
        </w:tc>
        <w:tc>
          <w:tcPr>
            <w:tcW w:w="1418" w:type="dxa"/>
            <w:tcBorders>
              <w:top w:val="nil"/>
              <w:left w:val="nil"/>
              <w:bottom w:val="double" w:sz="6" w:space="0" w:color="auto"/>
              <w:right w:val="double" w:sz="6" w:space="0" w:color="auto"/>
            </w:tcBorders>
            <w:shd w:val="clear" w:color="auto" w:fill="auto"/>
            <w:noWrap/>
            <w:vAlign w:val="bottom"/>
            <w:hideMark/>
          </w:tcPr>
          <w:p w14:paraId="0E424612" w14:textId="77777777" w:rsidR="00FF19F9" w:rsidRPr="00FF19F9" w:rsidRDefault="00FF19F9" w:rsidP="00AB6E47">
            <w:pPr>
              <w:overflowPunct/>
              <w:autoSpaceDE/>
              <w:autoSpaceDN/>
              <w:adjustRightInd/>
              <w:jc w:val="right"/>
              <w:textAlignment w:val="auto"/>
              <w:rPr>
                <w:rFonts w:ascii="Arial" w:hAnsi="Arial" w:cs="Arial"/>
                <w:color w:val="000000"/>
              </w:rPr>
            </w:pPr>
            <w:r w:rsidRPr="00FF19F9">
              <w:rPr>
                <w:rFonts w:ascii="Arial" w:hAnsi="Arial" w:cs="Arial"/>
                <w:color w:val="000000"/>
              </w:rPr>
              <w:t xml:space="preserve">  38.071,95 € </w:t>
            </w:r>
          </w:p>
        </w:tc>
      </w:tr>
    </w:tbl>
    <w:p w14:paraId="6460ACE3" w14:textId="77777777" w:rsidR="003B7061" w:rsidRDefault="003B7061" w:rsidP="00D52B82">
      <w:pPr>
        <w:overflowPunct/>
        <w:spacing w:line="276" w:lineRule="auto"/>
        <w:textAlignment w:val="auto"/>
        <w:rPr>
          <w:rFonts w:ascii="Arial" w:eastAsia="Calibri" w:hAnsi="Arial" w:cs="Arial"/>
          <w:sz w:val="24"/>
          <w:szCs w:val="24"/>
          <w:lang w:eastAsia="en-US"/>
        </w:rPr>
      </w:pPr>
    </w:p>
    <w:p w14:paraId="7A68AB13" w14:textId="05E06904" w:rsidR="003915C3" w:rsidRDefault="003915C3" w:rsidP="00C0399E">
      <w:pPr>
        <w:overflowPunct/>
        <w:spacing w:line="276" w:lineRule="auto"/>
        <w:jc w:val="both"/>
        <w:textAlignment w:val="auto"/>
        <w:rPr>
          <w:rFonts w:ascii="Arial" w:eastAsia="Calibri" w:hAnsi="Arial" w:cs="Arial"/>
          <w:sz w:val="24"/>
          <w:szCs w:val="24"/>
          <w:lang w:eastAsia="en-US"/>
        </w:rPr>
      </w:pPr>
      <w:r w:rsidRPr="00426F3A">
        <w:rPr>
          <w:rFonts w:ascii="Arial" w:eastAsia="Calibri" w:hAnsi="Arial" w:cs="Arial"/>
          <w:sz w:val="24"/>
          <w:szCs w:val="24"/>
          <w:lang w:eastAsia="en-US"/>
        </w:rPr>
        <w:t xml:space="preserve">Die Erhöhung </w:t>
      </w:r>
      <w:r w:rsidRPr="003915C3">
        <w:rPr>
          <w:rFonts w:ascii="Arial" w:eastAsia="Calibri" w:hAnsi="Arial" w:cs="Arial"/>
          <w:sz w:val="24"/>
          <w:szCs w:val="24"/>
          <w:lang w:eastAsia="en-US"/>
        </w:rPr>
        <w:t xml:space="preserve">des Betrages für Bildung und Teilhabe </w:t>
      </w:r>
      <w:r w:rsidR="00D22675">
        <w:rPr>
          <w:rFonts w:ascii="Arial" w:eastAsia="Calibri" w:hAnsi="Arial" w:cs="Arial"/>
          <w:sz w:val="24"/>
          <w:szCs w:val="24"/>
          <w:lang w:eastAsia="en-US"/>
        </w:rPr>
        <w:t xml:space="preserve">in </w:t>
      </w:r>
      <w:r w:rsidRPr="003915C3">
        <w:rPr>
          <w:rFonts w:ascii="Arial" w:eastAsia="Calibri" w:hAnsi="Arial" w:cs="Arial"/>
          <w:sz w:val="24"/>
          <w:szCs w:val="24"/>
          <w:lang w:eastAsia="en-US"/>
        </w:rPr>
        <w:t>den Jahren 2019 und 2020 folgt der Anhebung des gesetzlich anerkannten Bedarfs in § 28 Abs. 7 SGB II von 10</w:t>
      </w:r>
      <w:r w:rsidR="00996C9D">
        <w:rPr>
          <w:rFonts w:ascii="Arial" w:eastAsia="Calibri" w:hAnsi="Arial" w:cs="Arial"/>
          <w:sz w:val="24"/>
          <w:szCs w:val="24"/>
          <w:lang w:eastAsia="en-US"/>
        </w:rPr>
        <w:t>,00</w:t>
      </w:r>
      <w:r w:rsidRPr="003915C3">
        <w:rPr>
          <w:rFonts w:ascii="Arial" w:eastAsia="Calibri" w:hAnsi="Arial" w:cs="Arial"/>
          <w:sz w:val="24"/>
          <w:szCs w:val="24"/>
          <w:lang w:eastAsia="en-US"/>
        </w:rPr>
        <w:t xml:space="preserve"> </w:t>
      </w:r>
      <w:r w:rsidR="00996C9D">
        <w:rPr>
          <w:rFonts w:ascii="Arial" w:eastAsia="Calibri" w:hAnsi="Arial" w:cs="Arial"/>
          <w:sz w:val="24"/>
          <w:szCs w:val="24"/>
          <w:lang w:eastAsia="en-US"/>
        </w:rPr>
        <w:t>€</w:t>
      </w:r>
      <w:r w:rsidRPr="003915C3">
        <w:rPr>
          <w:rFonts w:ascii="Arial" w:eastAsia="Calibri" w:hAnsi="Arial" w:cs="Arial"/>
          <w:sz w:val="24"/>
          <w:szCs w:val="24"/>
          <w:lang w:eastAsia="en-US"/>
        </w:rPr>
        <w:t xml:space="preserve"> auf 15</w:t>
      </w:r>
      <w:r w:rsidR="00996C9D">
        <w:rPr>
          <w:rFonts w:ascii="Arial" w:eastAsia="Calibri" w:hAnsi="Arial" w:cs="Arial"/>
          <w:sz w:val="24"/>
          <w:szCs w:val="24"/>
          <w:lang w:eastAsia="en-US"/>
        </w:rPr>
        <w:t>,00 €</w:t>
      </w:r>
      <w:r w:rsidRPr="003915C3">
        <w:rPr>
          <w:rFonts w:ascii="Arial" w:eastAsia="Calibri" w:hAnsi="Arial" w:cs="Arial"/>
          <w:sz w:val="24"/>
          <w:szCs w:val="24"/>
          <w:lang w:eastAsia="en-US"/>
        </w:rPr>
        <w:t xml:space="preserve"> pro Monat und Kind zum 1. August 2019.</w:t>
      </w:r>
    </w:p>
    <w:p w14:paraId="3FF4C6E3" w14:textId="77777777" w:rsidR="003915C3" w:rsidRDefault="003915C3" w:rsidP="00C0399E">
      <w:pPr>
        <w:overflowPunct/>
        <w:spacing w:line="276" w:lineRule="auto"/>
        <w:jc w:val="both"/>
        <w:textAlignment w:val="auto"/>
        <w:rPr>
          <w:rFonts w:ascii="Arial" w:eastAsia="Calibri" w:hAnsi="Arial" w:cs="Arial"/>
          <w:sz w:val="24"/>
          <w:szCs w:val="24"/>
          <w:lang w:eastAsia="en-US"/>
        </w:rPr>
      </w:pPr>
    </w:p>
    <w:p w14:paraId="7CA8401A" w14:textId="1DB8A343" w:rsidR="00C543D1" w:rsidRPr="00386E09" w:rsidRDefault="001C3A47" w:rsidP="00C0399E">
      <w:pPr>
        <w:overflowPunct/>
        <w:spacing w:line="276" w:lineRule="auto"/>
        <w:jc w:val="both"/>
        <w:textAlignment w:val="auto"/>
        <w:rPr>
          <w:rFonts w:ascii="Arial" w:eastAsia="Calibri" w:hAnsi="Arial" w:cs="Arial"/>
          <w:sz w:val="24"/>
          <w:szCs w:val="24"/>
          <w:lang w:eastAsia="en-US"/>
        </w:rPr>
      </w:pPr>
      <w:r w:rsidRPr="00386E09">
        <w:rPr>
          <w:rFonts w:ascii="Arial" w:eastAsia="Calibri" w:hAnsi="Arial" w:cs="Arial"/>
          <w:sz w:val="24"/>
          <w:szCs w:val="24"/>
          <w:lang w:eastAsia="en-US"/>
        </w:rPr>
        <w:t>(2</w:t>
      </w:r>
      <w:r w:rsidR="00037053" w:rsidRPr="00386E09">
        <w:rPr>
          <w:rFonts w:ascii="Arial" w:eastAsia="Calibri" w:hAnsi="Arial" w:cs="Arial"/>
          <w:sz w:val="24"/>
          <w:szCs w:val="24"/>
          <w:lang w:eastAsia="en-US"/>
        </w:rPr>
        <w:t>)</w:t>
      </w:r>
      <w:r w:rsidR="009B07AB" w:rsidRPr="00386E09">
        <w:rPr>
          <w:rFonts w:ascii="Arial" w:eastAsia="Calibri" w:hAnsi="Arial" w:cs="Arial"/>
          <w:sz w:val="24"/>
          <w:szCs w:val="24"/>
          <w:lang w:eastAsia="en-US"/>
        </w:rPr>
        <w:t xml:space="preserve"> Es kann </w:t>
      </w:r>
      <w:r w:rsidR="0032083C" w:rsidRPr="00386E09">
        <w:rPr>
          <w:rFonts w:ascii="Arial" w:eastAsia="Calibri" w:hAnsi="Arial" w:cs="Arial"/>
          <w:sz w:val="24"/>
          <w:szCs w:val="24"/>
          <w:lang w:eastAsia="en-US"/>
        </w:rPr>
        <w:t xml:space="preserve">dabei </w:t>
      </w:r>
      <w:r w:rsidR="009B07AB" w:rsidRPr="00386E09">
        <w:rPr>
          <w:rFonts w:ascii="Arial" w:eastAsia="Calibri" w:hAnsi="Arial" w:cs="Arial"/>
          <w:sz w:val="24"/>
          <w:szCs w:val="24"/>
          <w:lang w:eastAsia="en-US"/>
        </w:rPr>
        <w:t xml:space="preserve">nicht unberücksichtigt bleiben, dass der Berliner Gesetzgeber in seiner Begründung des Gesetzes zur Anpassung der Besoldung und Versorgung für das Land Berlin 2021 und zur Änderung weiterer Vorschriften (BerlBVAnpG 2021, </w:t>
      </w:r>
      <w:r w:rsidR="000C3CAF" w:rsidRPr="00386E09">
        <w:rPr>
          <w:rFonts w:ascii="Arial" w:eastAsia="Calibri" w:hAnsi="Arial" w:cs="Arial"/>
          <w:sz w:val="24"/>
          <w:szCs w:val="24"/>
          <w:lang w:eastAsia="en-US"/>
        </w:rPr>
        <w:t>A</w:t>
      </w:r>
      <w:r w:rsidR="00397DA7">
        <w:rPr>
          <w:rFonts w:ascii="Arial" w:eastAsia="Calibri" w:hAnsi="Arial" w:cs="Arial"/>
          <w:sz w:val="24"/>
          <w:szCs w:val="24"/>
          <w:lang w:eastAsia="en-US"/>
        </w:rPr>
        <w:t>H</w:t>
      </w:r>
      <w:r w:rsidR="000C3CAF" w:rsidRPr="00386E09">
        <w:rPr>
          <w:rFonts w:ascii="Arial" w:eastAsia="Calibri" w:hAnsi="Arial" w:cs="Arial"/>
          <w:sz w:val="24"/>
          <w:szCs w:val="24"/>
          <w:lang w:eastAsia="en-US"/>
        </w:rPr>
        <w:t xml:space="preserve">-Drs. </w:t>
      </w:r>
      <w:r w:rsidR="009B07AB" w:rsidRPr="00386E09">
        <w:rPr>
          <w:rFonts w:ascii="Arial" w:eastAsia="Calibri" w:hAnsi="Arial" w:cs="Arial"/>
          <w:sz w:val="24"/>
          <w:szCs w:val="24"/>
          <w:lang w:eastAsia="en-US"/>
        </w:rPr>
        <w:t>18/3285</w:t>
      </w:r>
      <w:r w:rsidR="00FE5A88" w:rsidRPr="00386E09">
        <w:rPr>
          <w:rFonts w:ascii="Arial" w:eastAsia="Calibri" w:hAnsi="Arial" w:cs="Arial"/>
          <w:sz w:val="24"/>
          <w:szCs w:val="24"/>
          <w:lang w:eastAsia="en-US"/>
        </w:rPr>
        <w:t xml:space="preserve">, </w:t>
      </w:r>
      <w:r w:rsidR="002601DD" w:rsidRPr="00386E09">
        <w:rPr>
          <w:rFonts w:ascii="Arial" w:eastAsia="Calibri" w:hAnsi="Arial" w:cs="Arial"/>
          <w:sz w:val="24"/>
          <w:szCs w:val="24"/>
          <w:lang w:eastAsia="en-US"/>
        </w:rPr>
        <w:t xml:space="preserve">S. 39 f und </w:t>
      </w:r>
      <w:r w:rsidR="00FE5A88" w:rsidRPr="00386E09">
        <w:rPr>
          <w:rFonts w:ascii="Arial" w:eastAsia="Calibri" w:hAnsi="Arial" w:cs="Arial"/>
          <w:sz w:val="24"/>
          <w:szCs w:val="24"/>
          <w:lang w:eastAsia="en-US"/>
        </w:rPr>
        <w:t>Anlage 4b</w:t>
      </w:r>
      <w:r w:rsidR="009B07AB" w:rsidRPr="00386E09">
        <w:rPr>
          <w:rFonts w:ascii="Arial" w:eastAsia="Calibri" w:hAnsi="Arial" w:cs="Arial"/>
          <w:sz w:val="24"/>
          <w:szCs w:val="24"/>
          <w:lang w:eastAsia="en-US"/>
        </w:rPr>
        <w:t xml:space="preserve">) </w:t>
      </w:r>
      <w:r w:rsidR="002601DD" w:rsidRPr="00386E09">
        <w:rPr>
          <w:rFonts w:ascii="Arial" w:eastAsia="Calibri" w:hAnsi="Arial" w:cs="Arial"/>
          <w:sz w:val="24"/>
          <w:szCs w:val="24"/>
          <w:lang w:eastAsia="en-US"/>
        </w:rPr>
        <w:t>auf Basis der Zahlen für das</w:t>
      </w:r>
      <w:r w:rsidR="000E77F1" w:rsidRPr="00386E09">
        <w:rPr>
          <w:rFonts w:ascii="Arial" w:eastAsia="Calibri" w:hAnsi="Arial" w:cs="Arial"/>
          <w:sz w:val="24"/>
          <w:szCs w:val="24"/>
          <w:lang w:eastAsia="en-US"/>
        </w:rPr>
        <w:t xml:space="preserve"> Jahr 202</w:t>
      </w:r>
      <w:r w:rsidR="002601DD" w:rsidRPr="00386E09">
        <w:rPr>
          <w:rFonts w:ascii="Arial" w:eastAsia="Calibri" w:hAnsi="Arial" w:cs="Arial"/>
          <w:sz w:val="24"/>
          <w:szCs w:val="24"/>
          <w:lang w:eastAsia="en-US"/>
        </w:rPr>
        <w:t>0</w:t>
      </w:r>
      <w:r w:rsidR="000E77F1" w:rsidRPr="00386E09">
        <w:rPr>
          <w:rFonts w:ascii="Arial" w:eastAsia="Calibri" w:hAnsi="Arial" w:cs="Arial"/>
          <w:sz w:val="24"/>
          <w:szCs w:val="24"/>
          <w:lang w:eastAsia="en-US"/>
        </w:rPr>
        <w:t xml:space="preserve"> </w:t>
      </w:r>
      <w:r w:rsidR="002601DD" w:rsidRPr="00386E09">
        <w:rPr>
          <w:rFonts w:ascii="Arial" w:eastAsia="Calibri" w:hAnsi="Arial" w:cs="Arial"/>
          <w:sz w:val="24"/>
          <w:szCs w:val="24"/>
          <w:lang w:eastAsia="en-US"/>
        </w:rPr>
        <w:t xml:space="preserve">die </w:t>
      </w:r>
      <w:r w:rsidR="00C543D1" w:rsidRPr="00386E09">
        <w:rPr>
          <w:rFonts w:ascii="Arial" w:eastAsia="Calibri" w:hAnsi="Arial" w:cs="Arial"/>
          <w:sz w:val="24"/>
          <w:szCs w:val="24"/>
          <w:lang w:eastAsia="en-US"/>
        </w:rPr>
        <w:t xml:space="preserve">Leistungen für Bildung und Teilhabe </w:t>
      </w:r>
      <w:r w:rsidR="00740186" w:rsidRPr="00386E09">
        <w:rPr>
          <w:rFonts w:ascii="Arial" w:eastAsia="Calibri" w:hAnsi="Arial" w:cs="Arial"/>
          <w:sz w:val="24"/>
          <w:szCs w:val="24"/>
          <w:lang w:eastAsia="en-US"/>
        </w:rPr>
        <w:t xml:space="preserve">ermittelt und auch </w:t>
      </w:r>
      <w:r w:rsidR="000E77F1" w:rsidRPr="00386E09">
        <w:rPr>
          <w:rFonts w:ascii="Arial" w:eastAsia="Calibri" w:hAnsi="Arial" w:cs="Arial"/>
          <w:sz w:val="24"/>
          <w:szCs w:val="24"/>
          <w:lang w:eastAsia="en-US"/>
        </w:rPr>
        <w:t xml:space="preserve">die </w:t>
      </w:r>
      <w:r w:rsidR="002601DD" w:rsidRPr="00386E09">
        <w:rPr>
          <w:rFonts w:ascii="Arial" w:eastAsia="Calibri" w:hAnsi="Arial" w:cs="Arial"/>
          <w:sz w:val="24"/>
          <w:szCs w:val="24"/>
          <w:lang w:eastAsia="en-US"/>
        </w:rPr>
        <w:t xml:space="preserve">Höhe der monatlichen </w:t>
      </w:r>
      <w:r w:rsidR="000E77F1" w:rsidRPr="00386E09">
        <w:rPr>
          <w:rFonts w:ascii="Arial" w:eastAsia="Calibri" w:hAnsi="Arial" w:cs="Arial"/>
          <w:sz w:val="24"/>
          <w:szCs w:val="24"/>
          <w:lang w:eastAsia="en-US"/>
        </w:rPr>
        <w:t xml:space="preserve">Vergünstigungen beziffert hat, welche </w:t>
      </w:r>
      <w:r w:rsidR="00C543D1" w:rsidRPr="00386E09">
        <w:rPr>
          <w:rFonts w:ascii="Arial" w:eastAsia="Calibri" w:hAnsi="Arial" w:cs="Arial"/>
          <w:sz w:val="24"/>
          <w:szCs w:val="24"/>
          <w:lang w:eastAsia="en-US"/>
        </w:rPr>
        <w:t>das Land Berlin sozialleistungsberechtigten Kindern und Jugendlichen gewährt</w:t>
      </w:r>
      <w:r w:rsidR="000275A6" w:rsidRPr="00386E09">
        <w:rPr>
          <w:rFonts w:ascii="Arial" w:eastAsia="Calibri" w:hAnsi="Arial" w:cs="Arial"/>
          <w:sz w:val="24"/>
          <w:szCs w:val="24"/>
          <w:lang w:eastAsia="en-US"/>
        </w:rPr>
        <w:t xml:space="preserve">. </w:t>
      </w:r>
      <w:r w:rsidR="00740186" w:rsidRPr="00386E09">
        <w:rPr>
          <w:rFonts w:ascii="Arial" w:eastAsia="Calibri" w:hAnsi="Arial" w:cs="Arial"/>
          <w:sz w:val="24"/>
          <w:szCs w:val="24"/>
          <w:lang w:eastAsia="en-US"/>
        </w:rPr>
        <w:t xml:space="preserve">Im Jahr 2020 summierten sich diese Leistungen und Vergünstigungen für zwei Kinder auf durchschnittlich insgesamt 179,55 €. </w:t>
      </w:r>
      <w:r w:rsidR="002601DD" w:rsidRPr="00386E09">
        <w:rPr>
          <w:rFonts w:ascii="Arial" w:eastAsia="Calibri" w:hAnsi="Arial" w:cs="Arial"/>
          <w:sz w:val="24"/>
          <w:szCs w:val="24"/>
          <w:lang w:eastAsia="en-US"/>
        </w:rPr>
        <w:t xml:space="preserve">Diese Leistungen und Vergünstigungen wurden sozialleistungsberechtigten Kindern und Jugendlichen </w:t>
      </w:r>
      <w:r w:rsidR="00740186" w:rsidRPr="00386E09">
        <w:rPr>
          <w:rFonts w:ascii="Arial" w:eastAsia="Calibri" w:hAnsi="Arial" w:cs="Arial"/>
          <w:sz w:val="24"/>
          <w:szCs w:val="24"/>
          <w:lang w:eastAsia="en-US"/>
        </w:rPr>
        <w:t xml:space="preserve">vollumfänglich </w:t>
      </w:r>
      <w:r w:rsidR="002601DD" w:rsidRPr="00386E09">
        <w:rPr>
          <w:rFonts w:ascii="Arial" w:eastAsia="Calibri" w:hAnsi="Arial" w:cs="Arial"/>
          <w:sz w:val="24"/>
          <w:szCs w:val="24"/>
          <w:lang w:eastAsia="en-US"/>
        </w:rPr>
        <w:t>auch in den Jahren 2016 bis 2019</w:t>
      </w:r>
      <w:r w:rsidR="00740186" w:rsidRPr="00386E09">
        <w:rPr>
          <w:rFonts w:ascii="Arial" w:eastAsia="Calibri" w:hAnsi="Arial" w:cs="Arial"/>
          <w:sz w:val="24"/>
          <w:szCs w:val="24"/>
          <w:lang w:eastAsia="en-US"/>
        </w:rPr>
        <w:t xml:space="preserve"> gewährt.</w:t>
      </w:r>
      <w:r w:rsidR="002601DD" w:rsidRPr="00386E09">
        <w:rPr>
          <w:rFonts w:ascii="Arial" w:eastAsia="Calibri" w:hAnsi="Arial" w:cs="Arial"/>
          <w:sz w:val="24"/>
          <w:szCs w:val="24"/>
          <w:lang w:eastAsia="en-US"/>
        </w:rPr>
        <w:t xml:space="preserve"> </w:t>
      </w:r>
      <w:r w:rsidR="00740186" w:rsidRPr="00386E09">
        <w:rPr>
          <w:rFonts w:ascii="Arial" w:eastAsia="Calibri" w:hAnsi="Arial" w:cs="Arial"/>
          <w:sz w:val="24"/>
          <w:szCs w:val="24"/>
          <w:lang w:eastAsia="en-US"/>
        </w:rPr>
        <w:t xml:space="preserve">Einer Ermittlung der </w:t>
      </w:r>
      <w:r w:rsidR="002E74B2">
        <w:rPr>
          <w:rFonts w:ascii="Arial" w:eastAsia="Calibri" w:hAnsi="Arial" w:cs="Arial"/>
          <w:sz w:val="24"/>
          <w:szCs w:val="24"/>
          <w:lang w:eastAsia="en-US"/>
        </w:rPr>
        <w:t>exakten</w:t>
      </w:r>
      <w:r w:rsidR="00C07C51">
        <w:rPr>
          <w:rFonts w:ascii="Arial" w:eastAsia="Calibri" w:hAnsi="Arial" w:cs="Arial"/>
          <w:sz w:val="24"/>
          <w:szCs w:val="24"/>
          <w:lang w:eastAsia="en-US"/>
        </w:rPr>
        <w:t xml:space="preserve"> </w:t>
      </w:r>
      <w:r w:rsidR="00740186" w:rsidRPr="00386E09">
        <w:rPr>
          <w:rFonts w:ascii="Arial" w:eastAsia="Calibri" w:hAnsi="Arial" w:cs="Arial"/>
          <w:sz w:val="24"/>
          <w:szCs w:val="24"/>
          <w:lang w:eastAsia="en-US"/>
        </w:rPr>
        <w:t xml:space="preserve">Höhe dieser Leistungen und Vergünstigungen </w:t>
      </w:r>
      <w:r w:rsidR="00EB750D" w:rsidRPr="00386E09">
        <w:rPr>
          <w:rFonts w:ascii="Arial" w:eastAsia="Calibri" w:hAnsi="Arial" w:cs="Arial"/>
          <w:sz w:val="24"/>
          <w:szCs w:val="24"/>
          <w:lang w:eastAsia="en-US"/>
        </w:rPr>
        <w:t xml:space="preserve">für die Jahre 2016 bis 2019 </w:t>
      </w:r>
      <w:r w:rsidR="00740186" w:rsidRPr="00386E09">
        <w:rPr>
          <w:rFonts w:ascii="Arial" w:eastAsia="Calibri" w:hAnsi="Arial" w:cs="Arial"/>
          <w:sz w:val="24"/>
          <w:szCs w:val="24"/>
          <w:lang w:eastAsia="en-US"/>
        </w:rPr>
        <w:t>bedurfte es nicht, da sich d</w:t>
      </w:r>
      <w:r w:rsidR="0014242E" w:rsidRPr="00386E09">
        <w:rPr>
          <w:rFonts w:ascii="Arial" w:eastAsia="Calibri" w:hAnsi="Arial" w:cs="Arial"/>
          <w:sz w:val="24"/>
          <w:szCs w:val="24"/>
          <w:lang w:eastAsia="en-US"/>
        </w:rPr>
        <w:t xml:space="preserve">er </w:t>
      </w:r>
      <w:r w:rsidR="00C543D1" w:rsidRPr="00386E09">
        <w:rPr>
          <w:rFonts w:ascii="Arial" w:eastAsia="Calibri" w:hAnsi="Arial" w:cs="Arial"/>
          <w:sz w:val="24"/>
          <w:szCs w:val="24"/>
          <w:lang w:eastAsia="en-US"/>
        </w:rPr>
        <w:t xml:space="preserve">vom Land Berlin </w:t>
      </w:r>
      <w:r w:rsidR="00221B6F" w:rsidRPr="00386E09">
        <w:rPr>
          <w:rFonts w:ascii="Arial" w:eastAsia="Calibri" w:hAnsi="Arial" w:cs="Arial"/>
          <w:sz w:val="24"/>
          <w:szCs w:val="24"/>
          <w:lang w:eastAsia="en-US"/>
        </w:rPr>
        <w:t xml:space="preserve">auf Basis der Zahlen für 2020 </w:t>
      </w:r>
      <w:r w:rsidR="00C543D1" w:rsidRPr="00386E09">
        <w:rPr>
          <w:rFonts w:ascii="Arial" w:eastAsia="Calibri" w:hAnsi="Arial" w:cs="Arial"/>
          <w:sz w:val="24"/>
          <w:szCs w:val="24"/>
          <w:lang w:eastAsia="en-US"/>
        </w:rPr>
        <w:t xml:space="preserve">bestimmte Betrag </w:t>
      </w:r>
      <w:r w:rsidR="00AD40EC" w:rsidRPr="00386E09">
        <w:rPr>
          <w:rFonts w:ascii="Arial" w:eastAsia="Calibri" w:hAnsi="Arial" w:cs="Arial"/>
          <w:sz w:val="24"/>
          <w:szCs w:val="24"/>
          <w:lang w:eastAsia="en-US"/>
        </w:rPr>
        <w:t xml:space="preserve">verhältnismäßig </w:t>
      </w:r>
      <w:r w:rsidR="0014242E" w:rsidRPr="00386E09">
        <w:rPr>
          <w:rFonts w:ascii="Arial" w:eastAsia="Calibri" w:hAnsi="Arial" w:cs="Arial"/>
          <w:sz w:val="24"/>
          <w:szCs w:val="24"/>
          <w:lang w:eastAsia="en-US"/>
        </w:rPr>
        <w:t xml:space="preserve">entsprechend der </w:t>
      </w:r>
      <w:r w:rsidR="00C543D1" w:rsidRPr="00386E09">
        <w:rPr>
          <w:rFonts w:ascii="Arial" w:eastAsia="Calibri" w:hAnsi="Arial" w:cs="Arial"/>
          <w:sz w:val="24"/>
          <w:szCs w:val="24"/>
          <w:lang w:eastAsia="en-US"/>
        </w:rPr>
        <w:t>Entwicklung der Regelbedarfe</w:t>
      </w:r>
      <w:r w:rsidR="00AD40EC" w:rsidRPr="00386E09">
        <w:rPr>
          <w:rFonts w:ascii="Arial" w:eastAsia="Calibri" w:hAnsi="Arial" w:cs="Arial"/>
          <w:sz w:val="24"/>
          <w:szCs w:val="24"/>
          <w:lang w:eastAsia="en-US"/>
        </w:rPr>
        <w:t xml:space="preserve"> – und damit </w:t>
      </w:r>
      <w:r w:rsidR="00EB750D" w:rsidRPr="00386E09">
        <w:rPr>
          <w:rFonts w:ascii="Arial" w:eastAsia="Calibri" w:hAnsi="Arial" w:cs="Arial"/>
          <w:sz w:val="24"/>
          <w:szCs w:val="24"/>
          <w:lang w:eastAsia="en-US"/>
        </w:rPr>
        <w:t xml:space="preserve">ausreichend genau </w:t>
      </w:r>
      <w:r w:rsidR="00AD40EC" w:rsidRPr="00386E09">
        <w:rPr>
          <w:rFonts w:ascii="Arial" w:eastAsia="Calibri" w:hAnsi="Arial" w:cs="Arial"/>
          <w:sz w:val="24"/>
          <w:szCs w:val="24"/>
          <w:lang w:eastAsia="en-US"/>
        </w:rPr>
        <w:t xml:space="preserve">– </w:t>
      </w:r>
      <w:r w:rsidR="00CE0394" w:rsidRPr="00386E09">
        <w:rPr>
          <w:rFonts w:ascii="Arial" w:eastAsia="Calibri" w:hAnsi="Arial" w:cs="Arial"/>
          <w:sz w:val="24"/>
          <w:szCs w:val="24"/>
          <w:lang w:eastAsia="en-US"/>
        </w:rPr>
        <w:t>zurückrechnen</w:t>
      </w:r>
      <w:r w:rsidR="00740186" w:rsidRPr="00386E09">
        <w:rPr>
          <w:rFonts w:ascii="Arial" w:eastAsia="Calibri" w:hAnsi="Arial" w:cs="Arial"/>
          <w:sz w:val="24"/>
          <w:szCs w:val="24"/>
          <w:lang w:eastAsia="en-US"/>
        </w:rPr>
        <w:t xml:space="preserve"> lässt</w:t>
      </w:r>
      <w:r w:rsidR="00C543D1" w:rsidRPr="00386E09">
        <w:rPr>
          <w:rFonts w:ascii="Arial" w:eastAsia="Calibri" w:hAnsi="Arial" w:cs="Arial"/>
          <w:sz w:val="24"/>
          <w:szCs w:val="24"/>
          <w:lang w:eastAsia="en-US"/>
        </w:rPr>
        <w:t>.</w:t>
      </w:r>
    </w:p>
    <w:p w14:paraId="0498E4E4" w14:textId="77777777" w:rsidR="00C543D1" w:rsidRPr="00386E09" w:rsidRDefault="00C543D1" w:rsidP="00C0399E">
      <w:pPr>
        <w:overflowPunct/>
        <w:spacing w:line="276" w:lineRule="auto"/>
        <w:jc w:val="both"/>
        <w:textAlignment w:val="auto"/>
        <w:rPr>
          <w:rFonts w:ascii="Arial" w:eastAsia="Calibri" w:hAnsi="Arial" w:cs="Arial"/>
          <w:sz w:val="24"/>
          <w:szCs w:val="24"/>
          <w:lang w:eastAsia="en-US"/>
        </w:rPr>
      </w:pPr>
    </w:p>
    <w:p w14:paraId="594D6552" w14:textId="359D0C19" w:rsidR="00037053" w:rsidRDefault="000275A6" w:rsidP="00C0399E">
      <w:pPr>
        <w:overflowPunct/>
        <w:spacing w:line="276" w:lineRule="auto"/>
        <w:jc w:val="both"/>
        <w:textAlignment w:val="auto"/>
        <w:rPr>
          <w:rFonts w:ascii="Arial" w:eastAsia="Calibri" w:hAnsi="Arial" w:cs="Arial"/>
          <w:sz w:val="24"/>
          <w:szCs w:val="24"/>
          <w:lang w:eastAsia="en-US"/>
        </w:rPr>
      </w:pPr>
      <w:r w:rsidRPr="00386E09">
        <w:rPr>
          <w:rFonts w:ascii="Arial" w:eastAsia="Calibri" w:hAnsi="Arial" w:cs="Arial"/>
          <w:sz w:val="24"/>
          <w:szCs w:val="24"/>
          <w:lang w:eastAsia="en-US"/>
        </w:rPr>
        <w:t xml:space="preserve">Überträgt man die </w:t>
      </w:r>
      <w:r w:rsidR="007339BE" w:rsidRPr="00386E09">
        <w:rPr>
          <w:rFonts w:ascii="Arial" w:eastAsia="Calibri" w:hAnsi="Arial" w:cs="Arial"/>
          <w:sz w:val="24"/>
          <w:szCs w:val="24"/>
          <w:lang w:eastAsia="en-US"/>
        </w:rPr>
        <w:t xml:space="preserve">vom Land Berlin für 2020 ermittelten Beträge </w:t>
      </w:r>
      <w:r w:rsidR="00AB00F6">
        <w:rPr>
          <w:rFonts w:ascii="Arial" w:eastAsia="Calibri" w:hAnsi="Arial" w:cs="Arial"/>
          <w:sz w:val="24"/>
          <w:szCs w:val="24"/>
          <w:lang w:eastAsia="en-US"/>
        </w:rPr>
        <w:t xml:space="preserve">unter Rückrechnung </w:t>
      </w:r>
      <w:r w:rsidRPr="00386E09">
        <w:rPr>
          <w:rFonts w:ascii="Arial" w:eastAsia="Calibri" w:hAnsi="Arial" w:cs="Arial"/>
          <w:sz w:val="24"/>
          <w:szCs w:val="24"/>
          <w:lang w:eastAsia="en-US"/>
        </w:rPr>
        <w:t xml:space="preserve">auf die streitgegenständlichen Jahre, </w:t>
      </w:r>
      <w:r w:rsidR="007339BE" w:rsidRPr="00386E09">
        <w:rPr>
          <w:rFonts w:ascii="Arial" w:eastAsia="Calibri" w:hAnsi="Arial" w:cs="Arial"/>
          <w:sz w:val="24"/>
          <w:szCs w:val="24"/>
          <w:lang w:eastAsia="en-US"/>
        </w:rPr>
        <w:t>ergeben</w:t>
      </w:r>
      <w:r w:rsidRPr="00386E09">
        <w:rPr>
          <w:rFonts w:ascii="Arial" w:eastAsia="Calibri" w:hAnsi="Arial" w:cs="Arial"/>
          <w:sz w:val="24"/>
          <w:szCs w:val="24"/>
          <w:lang w:eastAsia="en-US"/>
        </w:rPr>
        <w:t xml:space="preserve"> sich </w:t>
      </w:r>
      <w:r w:rsidR="007339BE" w:rsidRPr="00386E09">
        <w:rPr>
          <w:rFonts w:ascii="Arial" w:eastAsia="Calibri" w:hAnsi="Arial" w:cs="Arial"/>
          <w:sz w:val="24"/>
          <w:szCs w:val="24"/>
          <w:lang w:eastAsia="en-US"/>
        </w:rPr>
        <w:t>ein</w:t>
      </w:r>
      <w:r w:rsidRPr="00386E09">
        <w:rPr>
          <w:rFonts w:ascii="Arial" w:eastAsia="Calibri" w:hAnsi="Arial" w:cs="Arial"/>
          <w:sz w:val="24"/>
          <w:szCs w:val="24"/>
          <w:lang w:eastAsia="en-US"/>
        </w:rPr>
        <w:t xml:space="preserve"> grundsicherungsrechtliche</w:t>
      </w:r>
      <w:r w:rsidR="007339BE" w:rsidRPr="00386E09">
        <w:rPr>
          <w:rFonts w:ascii="Arial" w:eastAsia="Calibri" w:hAnsi="Arial" w:cs="Arial"/>
          <w:sz w:val="24"/>
          <w:szCs w:val="24"/>
          <w:lang w:eastAsia="en-US"/>
        </w:rPr>
        <w:t>r</w:t>
      </w:r>
      <w:r w:rsidRPr="00386E09">
        <w:rPr>
          <w:rFonts w:ascii="Arial" w:eastAsia="Calibri" w:hAnsi="Arial" w:cs="Arial"/>
          <w:sz w:val="24"/>
          <w:szCs w:val="24"/>
          <w:lang w:eastAsia="en-US"/>
        </w:rPr>
        <w:t xml:space="preserve"> Gesamtbedarf und die davon abgeleitete Mindestalimentation mindestens </w:t>
      </w:r>
      <w:r w:rsidR="007339BE" w:rsidRPr="00386E09">
        <w:rPr>
          <w:rFonts w:ascii="Arial" w:eastAsia="Calibri" w:hAnsi="Arial" w:cs="Arial"/>
          <w:sz w:val="24"/>
          <w:szCs w:val="24"/>
          <w:lang w:eastAsia="en-US"/>
        </w:rPr>
        <w:t xml:space="preserve">in Höhe der </w:t>
      </w:r>
      <w:r w:rsidRPr="00386E09">
        <w:rPr>
          <w:rFonts w:ascii="Arial" w:eastAsia="Calibri" w:hAnsi="Arial" w:cs="Arial"/>
          <w:sz w:val="24"/>
          <w:szCs w:val="24"/>
          <w:lang w:eastAsia="en-US"/>
        </w:rPr>
        <w:t>folgenden Beträge:</w:t>
      </w:r>
    </w:p>
    <w:p w14:paraId="21313D68" w14:textId="790D8A9B" w:rsidR="000275A6" w:rsidRDefault="000275A6" w:rsidP="00C0399E">
      <w:pPr>
        <w:overflowPunct/>
        <w:spacing w:line="276" w:lineRule="auto"/>
        <w:textAlignment w:val="auto"/>
        <w:rPr>
          <w:rFonts w:ascii="Arial" w:eastAsia="Calibri" w:hAnsi="Arial" w:cs="Arial"/>
          <w:sz w:val="24"/>
          <w:szCs w:val="24"/>
          <w:lang w:eastAsia="en-US"/>
        </w:rPr>
      </w:pPr>
    </w:p>
    <w:tbl>
      <w:tblPr>
        <w:tblW w:w="9781" w:type="dxa"/>
        <w:tblInd w:w="119" w:type="dxa"/>
        <w:tblCellMar>
          <w:left w:w="70" w:type="dxa"/>
          <w:right w:w="70" w:type="dxa"/>
        </w:tblCellMar>
        <w:tblLook w:val="04A0" w:firstRow="1" w:lastRow="0" w:firstColumn="1" w:lastColumn="0" w:noHBand="0" w:noVBand="1"/>
      </w:tblPr>
      <w:tblGrid>
        <w:gridCol w:w="2552"/>
        <w:gridCol w:w="1417"/>
        <w:gridCol w:w="1418"/>
        <w:gridCol w:w="1559"/>
        <w:gridCol w:w="1417"/>
        <w:gridCol w:w="1418"/>
      </w:tblGrid>
      <w:tr w:rsidR="006860FE" w:rsidRPr="006860FE" w14:paraId="4BB0112A" w14:textId="77777777" w:rsidTr="004A33A2">
        <w:trPr>
          <w:trHeight w:val="312"/>
        </w:trPr>
        <w:tc>
          <w:tcPr>
            <w:tcW w:w="2552" w:type="dxa"/>
            <w:tcBorders>
              <w:top w:val="double" w:sz="6" w:space="0" w:color="auto"/>
              <w:left w:val="double" w:sz="6" w:space="0" w:color="auto"/>
              <w:bottom w:val="single" w:sz="8" w:space="0" w:color="auto"/>
              <w:right w:val="single" w:sz="4" w:space="0" w:color="auto"/>
            </w:tcBorders>
            <w:shd w:val="clear" w:color="auto" w:fill="auto"/>
            <w:noWrap/>
            <w:vAlign w:val="bottom"/>
            <w:hideMark/>
          </w:tcPr>
          <w:p w14:paraId="3C5FCDF5" w14:textId="77777777" w:rsidR="006860FE" w:rsidRPr="006860FE" w:rsidRDefault="006860FE" w:rsidP="006860FE">
            <w:pPr>
              <w:overflowPunct/>
              <w:autoSpaceDE/>
              <w:autoSpaceDN/>
              <w:adjustRightInd/>
              <w:textAlignment w:val="auto"/>
              <w:rPr>
                <w:rFonts w:ascii="Calibri" w:hAnsi="Calibri" w:cs="Calibri"/>
                <w:color w:val="000000"/>
                <w:sz w:val="22"/>
                <w:szCs w:val="22"/>
              </w:rPr>
            </w:pPr>
            <w:r w:rsidRPr="006860FE">
              <w:rPr>
                <w:rFonts w:ascii="Calibri" w:hAnsi="Calibri" w:cs="Calibri"/>
                <w:color w:val="000000"/>
                <w:sz w:val="22"/>
                <w:szCs w:val="22"/>
              </w:rPr>
              <w:lastRenderedPageBreak/>
              <w:t> </w:t>
            </w:r>
          </w:p>
        </w:tc>
        <w:tc>
          <w:tcPr>
            <w:tcW w:w="1417" w:type="dxa"/>
            <w:tcBorders>
              <w:top w:val="double" w:sz="6" w:space="0" w:color="auto"/>
              <w:left w:val="nil"/>
              <w:bottom w:val="single" w:sz="8" w:space="0" w:color="auto"/>
              <w:right w:val="single" w:sz="4" w:space="0" w:color="auto"/>
            </w:tcBorders>
            <w:shd w:val="clear" w:color="auto" w:fill="auto"/>
            <w:noWrap/>
            <w:vAlign w:val="bottom"/>
            <w:hideMark/>
          </w:tcPr>
          <w:p w14:paraId="426D0C9E" w14:textId="77777777" w:rsidR="006860FE" w:rsidRPr="006860FE" w:rsidRDefault="006860FE" w:rsidP="006860FE">
            <w:pPr>
              <w:overflowPunct/>
              <w:autoSpaceDE/>
              <w:autoSpaceDN/>
              <w:adjustRightInd/>
              <w:jc w:val="right"/>
              <w:textAlignment w:val="auto"/>
              <w:rPr>
                <w:rFonts w:ascii="Calibri" w:hAnsi="Calibri" w:cs="Calibri"/>
                <w:color w:val="000000"/>
                <w:sz w:val="22"/>
                <w:szCs w:val="22"/>
              </w:rPr>
            </w:pPr>
            <w:r w:rsidRPr="006860FE">
              <w:rPr>
                <w:rFonts w:ascii="Calibri" w:hAnsi="Calibri" w:cs="Calibri"/>
                <w:color w:val="000000"/>
                <w:sz w:val="22"/>
                <w:szCs w:val="22"/>
              </w:rPr>
              <w:t>2016</w:t>
            </w:r>
          </w:p>
        </w:tc>
        <w:tc>
          <w:tcPr>
            <w:tcW w:w="1418" w:type="dxa"/>
            <w:tcBorders>
              <w:top w:val="double" w:sz="6" w:space="0" w:color="auto"/>
              <w:left w:val="nil"/>
              <w:bottom w:val="single" w:sz="8" w:space="0" w:color="auto"/>
              <w:right w:val="single" w:sz="4" w:space="0" w:color="auto"/>
            </w:tcBorders>
            <w:shd w:val="clear" w:color="auto" w:fill="auto"/>
            <w:noWrap/>
            <w:vAlign w:val="bottom"/>
            <w:hideMark/>
          </w:tcPr>
          <w:p w14:paraId="6C89D05A" w14:textId="77777777" w:rsidR="006860FE" w:rsidRPr="006860FE" w:rsidRDefault="006860FE" w:rsidP="006860FE">
            <w:pPr>
              <w:overflowPunct/>
              <w:autoSpaceDE/>
              <w:autoSpaceDN/>
              <w:adjustRightInd/>
              <w:jc w:val="right"/>
              <w:textAlignment w:val="auto"/>
              <w:rPr>
                <w:rFonts w:ascii="Calibri" w:hAnsi="Calibri" w:cs="Calibri"/>
                <w:color w:val="000000"/>
                <w:sz w:val="22"/>
                <w:szCs w:val="22"/>
              </w:rPr>
            </w:pPr>
            <w:r w:rsidRPr="006860FE">
              <w:rPr>
                <w:rFonts w:ascii="Calibri" w:hAnsi="Calibri" w:cs="Calibri"/>
                <w:color w:val="000000"/>
                <w:sz w:val="22"/>
                <w:szCs w:val="22"/>
              </w:rPr>
              <w:t>2017</w:t>
            </w:r>
          </w:p>
        </w:tc>
        <w:tc>
          <w:tcPr>
            <w:tcW w:w="1559" w:type="dxa"/>
            <w:tcBorders>
              <w:top w:val="double" w:sz="6" w:space="0" w:color="auto"/>
              <w:left w:val="nil"/>
              <w:bottom w:val="single" w:sz="8" w:space="0" w:color="auto"/>
              <w:right w:val="single" w:sz="4" w:space="0" w:color="auto"/>
            </w:tcBorders>
            <w:shd w:val="clear" w:color="auto" w:fill="auto"/>
            <w:noWrap/>
            <w:vAlign w:val="bottom"/>
            <w:hideMark/>
          </w:tcPr>
          <w:p w14:paraId="7E0B0D6B" w14:textId="77777777" w:rsidR="006860FE" w:rsidRPr="006860FE" w:rsidRDefault="006860FE" w:rsidP="006860FE">
            <w:pPr>
              <w:overflowPunct/>
              <w:autoSpaceDE/>
              <w:autoSpaceDN/>
              <w:adjustRightInd/>
              <w:jc w:val="right"/>
              <w:textAlignment w:val="auto"/>
              <w:rPr>
                <w:rFonts w:ascii="Calibri" w:hAnsi="Calibri" w:cs="Calibri"/>
                <w:color w:val="000000"/>
                <w:sz w:val="22"/>
                <w:szCs w:val="22"/>
              </w:rPr>
            </w:pPr>
            <w:r w:rsidRPr="006860FE">
              <w:rPr>
                <w:rFonts w:ascii="Calibri" w:hAnsi="Calibri" w:cs="Calibri"/>
                <w:color w:val="000000"/>
                <w:sz w:val="22"/>
                <w:szCs w:val="22"/>
              </w:rPr>
              <w:t>2018</w:t>
            </w:r>
          </w:p>
        </w:tc>
        <w:tc>
          <w:tcPr>
            <w:tcW w:w="1417" w:type="dxa"/>
            <w:tcBorders>
              <w:top w:val="double" w:sz="6" w:space="0" w:color="auto"/>
              <w:left w:val="nil"/>
              <w:bottom w:val="single" w:sz="8" w:space="0" w:color="auto"/>
              <w:right w:val="single" w:sz="4" w:space="0" w:color="auto"/>
            </w:tcBorders>
            <w:shd w:val="clear" w:color="auto" w:fill="auto"/>
            <w:noWrap/>
            <w:vAlign w:val="bottom"/>
            <w:hideMark/>
          </w:tcPr>
          <w:p w14:paraId="090EC47A" w14:textId="77777777" w:rsidR="006860FE" w:rsidRPr="006860FE" w:rsidRDefault="006860FE" w:rsidP="006860FE">
            <w:pPr>
              <w:overflowPunct/>
              <w:autoSpaceDE/>
              <w:autoSpaceDN/>
              <w:adjustRightInd/>
              <w:jc w:val="right"/>
              <w:textAlignment w:val="auto"/>
              <w:rPr>
                <w:rFonts w:ascii="Calibri" w:hAnsi="Calibri" w:cs="Calibri"/>
                <w:color w:val="000000"/>
                <w:sz w:val="22"/>
                <w:szCs w:val="22"/>
              </w:rPr>
            </w:pPr>
            <w:r w:rsidRPr="006860FE">
              <w:rPr>
                <w:rFonts w:ascii="Calibri" w:hAnsi="Calibri" w:cs="Calibri"/>
                <w:color w:val="000000"/>
                <w:sz w:val="22"/>
                <w:szCs w:val="22"/>
              </w:rPr>
              <w:t>2019</w:t>
            </w:r>
          </w:p>
        </w:tc>
        <w:tc>
          <w:tcPr>
            <w:tcW w:w="1418" w:type="dxa"/>
            <w:tcBorders>
              <w:top w:val="double" w:sz="6" w:space="0" w:color="auto"/>
              <w:left w:val="nil"/>
              <w:bottom w:val="single" w:sz="8" w:space="0" w:color="auto"/>
              <w:right w:val="double" w:sz="6" w:space="0" w:color="auto"/>
            </w:tcBorders>
            <w:shd w:val="clear" w:color="auto" w:fill="auto"/>
            <w:noWrap/>
            <w:vAlign w:val="bottom"/>
            <w:hideMark/>
          </w:tcPr>
          <w:p w14:paraId="16942083" w14:textId="77777777" w:rsidR="006860FE" w:rsidRPr="006860FE" w:rsidRDefault="006860FE" w:rsidP="006860FE">
            <w:pPr>
              <w:overflowPunct/>
              <w:autoSpaceDE/>
              <w:autoSpaceDN/>
              <w:adjustRightInd/>
              <w:jc w:val="right"/>
              <w:textAlignment w:val="auto"/>
              <w:rPr>
                <w:rFonts w:ascii="Calibri" w:hAnsi="Calibri" w:cs="Calibri"/>
                <w:color w:val="000000"/>
                <w:sz w:val="22"/>
                <w:szCs w:val="22"/>
              </w:rPr>
            </w:pPr>
            <w:r w:rsidRPr="006860FE">
              <w:rPr>
                <w:rFonts w:ascii="Calibri" w:hAnsi="Calibri" w:cs="Calibri"/>
                <w:color w:val="000000"/>
                <w:sz w:val="22"/>
                <w:szCs w:val="22"/>
              </w:rPr>
              <w:t>2020</w:t>
            </w:r>
          </w:p>
        </w:tc>
      </w:tr>
      <w:tr w:rsidR="006860FE" w:rsidRPr="006860FE" w14:paraId="60BDA138" w14:textId="77777777" w:rsidTr="004A33A2">
        <w:trPr>
          <w:trHeight w:val="300"/>
        </w:trPr>
        <w:tc>
          <w:tcPr>
            <w:tcW w:w="9781" w:type="dxa"/>
            <w:gridSpan w:val="6"/>
            <w:tcBorders>
              <w:top w:val="single" w:sz="8" w:space="0" w:color="auto"/>
              <w:left w:val="double" w:sz="6" w:space="0" w:color="auto"/>
              <w:bottom w:val="single" w:sz="8" w:space="0" w:color="auto"/>
              <w:right w:val="double" w:sz="6" w:space="0" w:color="000000"/>
            </w:tcBorders>
            <w:shd w:val="clear" w:color="auto" w:fill="auto"/>
            <w:noWrap/>
            <w:vAlign w:val="bottom"/>
            <w:hideMark/>
          </w:tcPr>
          <w:p w14:paraId="3C8F4E5A" w14:textId="77777777" w:rsidR="006860FE" w:rsidRPr="006860FE" w:rsidRDefault="006860FE" w:rsidP="006860FE">
            <w:pPr>
              <w:overflowPunct/>
              <w:autoSpaceDE/>
              <w:autoSpaceDN/>
              <w:adjustRightInd/>
              <w:jc w:val="center"/>
              <w:textAlignment w:val="auto"/>
              <w:rPr>
                <w:rFonts w:ascii="Arial" w:hAnsi="Arial" w:cs="Arial"/>
                <w:b/>
                <w:bCs/>
                <w:color w:val="000000"/>
              </w:rPr>
            </w:pPr>
            <w:r w:rsidRPr="006860FE">
              <w:rPr>
                <w:rFonts w:ascii="Arial" w:hAnsi="Arial" w:cs="Arial"/>
                <w:b/>
                <w:bCs/>
                <w:color w:val="000000"/>
              </w:rPr>
              <w:t>Grundsicherungsbedarf</w:t>
            </w:r>
          </w:p>
        </w:tc>
      </w:tr>
      <w:tr w:rsidR="006860FE" w:rsidRPr="006860FE" w14:paraId="40FE9C41" w14:textId="77777777" w:rsidTr="00AB6E47">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65DEC8F8"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Regelsätze</w:t>
            </w:r>
          </w:p>
        </w:tc>
        <w:tc>
          <w:tcPr>
            <w:tcW w:w="1417" w:type="dxa"/>
            <w:tcBorders>
              <w:top w:val="nil"/>
              <w:left w:val="nil"/>
              <w:bottom w:val="nil"/>
              <w:right w:val="single" w:sz="4" w:space="0" w:color="auto"/>
            </w:tcBorders>
            <w:shd w:val="clear" w:color="auto" w:fill="auto"/>
            <w:noWrap/>
            <w:vAlign w:val="bottom"/>
            <w:hideMark/>
          </w:tcPr>
          <w:p w14:paraId="2ED0B3F4"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1.262,00 €</w:t>
            </w:r>
          </w:p>
        </w:tc>
        <w:tc>
          <w:tcPr>
            <w:tcW w:w="1418" w:type="dxa"/>
            <w:tcBorders>
              <w:top w:val="nil"/>
              <w:left w:val="nil"/>
              <w:bottom w:val="nil"/>
              <w:right w:val="single" w:sz="4" w:space="0" w:color="auto"/>
            </w:tcBorders>
            <w:shd w:val="clear" w:color="auto" w:fill="auto"/>
            <w:noWrap/>
            <w:vAlign w:val="bottom"/>
            <w:hideMark/>
          </w:tcPr>
          <w:p w14:paraId="179453A9"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1.290,88 €</w:t>
            </w:r>
          </w:p>
        </w:tc>
        <w:tc>
          <w:tcPr>
            <w:tcW w:w="1559" w:type="dxa"/>
            <w:tcBorders>
              <w:top w:val="nil"/>
              <w:left w:val="nil"/>
              <w:bottom w:val="nil"/>
              <w:right w:val="single" w:sz="4" w:space="0" w:color="auto"/>
            </w:tcBorders>
            <w:shd w:val="clear" w:color="auto" w:fill="auto"/>
            <w:noWrap/>
            <w:vAlign w:val="bottom"/>
            <w:hideMark/>
          </w:tcPr>
          <w:p w14:paraId="305A40D4"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1.311,56 €</w:t>
            </w:r>
          </w:p>
        </w:tc>
        <w:tc>
          <w:tcPr>
            <w:tcW w:w="1417" w:type="dxa"/>
            <w:tcBorders>
              <w:top w:val="nil"/>
              <w:left w:val="nil"/>
              <w:bottom w:val="nil"/>
              <w:right w:val="single" w:sz="4" w:space="0" w:color="auto"/>
            </w:tcBorders>
            <w:shd w:val="clear" w:color="auto" w:fill="auto"/>
            <w:noWrap/>
            <w:vAlign w:val="bottom"/>
            <w:hideMark/>
          </w:tcPr>
          <w:p w14:paraId="1175D4F8"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1.338,89 €</w:t>
            </w:r>
          </w:p>
        </w:tc>
        <w:tc>
          <w:tcPr>
            <w:tcW w:w="1418" w:type="dxa"/>
            <w:tcBorders>
              <w:top w:val="nil"/>
              <w:left w:val="nil"/>
              <w:bottom w:val="nil"/>
              <w:right w:val="double" w:sz="6" w:space="0" w:color="auto"/>
            </w:tcBorders>
            <w:shd w:val="clear" w:color="auto" w:fill="auto"/>
            <w:noWrap/>
            <w:vAlign w:val="bottom"/>
            <w:hideMark/>
          </w:tcPr>
          <w:p w14:paraId="7077DA4C"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1.364,22 €</w:t>
            </w:r>
          </w:p>
        </w:tc>
      </w:tr>
      <w:tr w:rsidR="006860FE" w:rsidRPr="006860FE" w14:paraId="1DEAAD56" w14:textId="77777777" w:rsidTr="00AB6E47">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02BD5331"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Wohnkosten</w:t>
            </w:r>
          </w:p>
        </w:tc>
        <w:tc>
          <w:tcPr>
            <w:tcW w:w="1417" w:type="dxa"/>
            <w:tcBorders>
              <w:top w:val="nil"/>
              <w:left w:val="nil"/>
              <w:bottom w:val="nil"/>
              <w:right w:val="single" w:sz="4" w:space="0" w:color="auto"/>
            </w:tcBorders>
            <w:shd w:val="clear" w:color="auto" w:fill="auto"/>
            <w:noWrap/>
            <w:vAlign w:val="bottom"/>
            <w:hideMark/>
          </w:tcPr>
          <w:p w14:paraId="342D2FA8"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1.162,92 €</w:t>
            </w:r>
          </w:p>
        </w:tc>
        <w:tc>
          <w:tcPr>
            <w:tcW w:w="1418" w:type="dxa"/>
            <w:tcBorders>
              <w:top w:val="nil"/>
              <w:left w:val="nil"/>
              <w:bottom w:val="nil"/>
              <w:right w:val="single" w:sz="4" w:space="0" w:color="auto"/>
            </w:tcBorders>
            <w:shd w:val="clear" w:color="auto" w:fill="auto"/>
            <w:noWrap/>
            <w:vAlign w:val="bottom"/>
            <w:hideMark/>
          </w:tcPr>
          <w:p w14:paraId="448A03FE"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1.209,37 €</w:t>
            </w:r>
          </w:p>
        </w:tc>
        <w:tc>
          <w:tcPr>
            <w:tcW w:w="1559" w:type="dxa"/>
            <w:tcBorders>
              <w:top w:val="nil"/>
              <w:left w:val="nil"/>
              <w:bottom w:val="nil"/>
              <w:right w:val="single" w:sz="4" w:space="0" w:color="auto"/>
            </w:tcBorders>
            <w:shd w:val="clear" w:color="auto" w:fill="auto"/>
            <w:noWrap/>
            <w:vAlign w:val="bottom"/>
            <w:hideMark/>
          </w:tcPr>
          <w:p w14:paraId="7DC80E72"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1.255,83 €</w:t>
            </w:r>
          </w:p>
        </w:tc>
        <w:tc>
          <w:tcPr>
            <w:tcW w:w="1417" w:type="dxa"/>
            <w:tcBorders>
              <w:top w:val="nil"/>
              <w:left w:val="nil"/>
              <w:bottom w:val="nil"/>
              <w:right w:val="single" w:sz="4" w:space="0" w:color="auto"/>
            </w:tcBorders>
            <w:shd w:val="clear" w:color="auto" w:fill="auto"/>
            <w:noWrap/>
            <w:vAlign w:val="bottom"/>
            <w:hideMark/>
          </w:tcPr>
          <w:p w14:paraId="7EDF302F"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1.300,95 €</w:t>
            </w:r>
          </w:p>
        </w:tc>
        <w:tc>
          <w:tcPr>
            <w:tcW w:w="1418" w:type="dxa"/>
            <w:tcBorders>
              <w:top w:val="nil"/>
              <w:left w:val="nil"/>
              <w:bottom w:val="nil"/>
              <w:right w:val="double" w:sz="6" w:space="0" w:color="auto"/>
            </w:tcBorders>
            <w:shd w:val="clear" w:color="auto" w:fill="auto"/>
            <w:noWrap/>
            <w:vAlign w:val="bottom"/>
            <w:hideMark/>
          </w:tcPr>
          <w:p w14:paraId="5348762E"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1.310,15 €</w:t>
            </w:r>
          </w:p>
        </w:tc>
      </w:tr>
      <w:tr w:rsidR="006860FE" w:rsidRPr="006860FE" w14:paraId="3DB5D6BF" w14:textId="77777777" w:rsidTr="00AB6E47">
        <w:trPr>
          <w:trHeight w:val="300"/>
        </w:trPr>
        <w:tc>
          <w:tcPr>
            <w:tcW w:w="2552" w:type="dxa"/>
            <w:tcBorders>
              <w:top w:val="nil"/>
              <w:left w:val="double" w:sz="6" w:space="0" w:color="auto"/>
              <w:bottom w:val="single" w:sz="8" w:space="0" w:color="auto"/>
              <w:right w:val="single" w:sz="4" w:space="0" w:color="auto"/>
            </w:tcBorders>
            <w:shd w:val="clear" w:color="auto" w:fill="D9D9D9" w:themeFill="background1" w:themeFillShade="D9"/>
            <w:noWrap/>
            <w:vAlign w:val="bottom"/>
            <w:hideMark/>
          </w:tcPr>
          <w:p w14:paraId="4F0881ED"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Bildung und Teilhabe</w:t>
            </w:r>
          </w:p>
        </w:tc>
        <w:tc>
          <w:tcPr>
            <w:tcW w:w="1417" w:type="dxa"/>
            <w:tcBorders>
              <w:top w:val="nil"/>
              <w:left w:val="nil"/>
              <w:bottom w:val="single" w:sz="8" w:space="0" w:color="auto"/>
              <w:right w:val="single" w:sz="4" w:space="0" w:color="auto"/>
            </w:tcBorders>
            <w:shd w:val="clear" w:color="auto" w:fill="auto"/>
            <w:noWrap/>
            <w:vAlign w:val="bottom"/>
            <w:hideMark/>
          </w:tcPr>
          <w:p w14:paraId="146D3818" w14:textId="77777777" w:rsidR="006860FE" w:rsidRPr="006860FE" w:rsidRDefault="006860FE" w:rsidP="00AB6E47">
            <w:pPr>
              <w:overflowPunct/>
              <w:autoSpaceDE/>
              <w:autoSpaceDN/>
              <w:adjustRightInd/>
              <w:jc w:val="right"/>
              <w:textAlignment w:val="auto"/>
              <w:rPr>
                <w:rFonts w:ascii="Arial" w:hAnsi="Arial" w:cs="Arial"/>
              </w:rPr>
            </w:pPr>
            <w:r w:rsidRPr="006860FE">
              <w:rPr>
                <w:rFonts w:ascii="Arial" w:hAnsi="Arial" w:cs="Arial"/>
              </w:rPr>
              <w:t>153,36 €</w:t>
            </w:r>
          </w:p>
        </w:tc>
        <w:tc>
          <w:tcPr>
            <w:tcW w:w="1418" w:type="dxa"/>
            <w:tcBorders>
              <w:top w:val="nil"/>
              <w:left w:val="nil"/>
              <w:bottom w:val="single" w:sz="8" w:space="0" w:color="auto"/>
              <w:right w:val="single" w:sz="4" w:space="0" w:color="auto"/>
            </w:tcBorders>
            <w:shd w:val="clear" w:color="auto" w:fill="auto"/>
            <w:noWrap/>
            <w:vAlign w:val="bottom"/>
            <w:hideMark/>
          </w:tcPr>
          <w:p w14:paraId="3D0D9FC6" w14:textId="77777777" w:rsidR="006860FE" w:rsidRPr="006860FE" w:rsidRDefault="006860FE" w:rsidP="00AB6E47">
            <w:pPr>
              <w:overflowPunct/>
              <w:autoSpaceDE/>
              <w:autoSpaceDN/>
              <w:adjustRightInd/>
              <w:jc w:val="right"/>
              <w:textAlignment w:val="auto"/>
              <w:rPr>
                <w:rFonts w:ascii="Arial" w:hAnsi="Arial" w:cs="Arial"/>
              </w:rPr>
            </w:pPr>
            <w:r w:rsidRPr="006860FE">
              <w:rPr>
                <w:rFonts w:ascii="Arial" w:hAnsi="Arial" w:cs="Arial"/>
              </w:rPr>
              <w:t>158,36 €</w:t>
            </w:r>
          </w:p>
        </w:tc>
        <w:tc>
          <w:tcPr>
            <w:tcW w:w="1559" w:type="dxa"/>
            <w:tcBorders>
              <w:top w:val="nil"/>
              <w:left w:val="nil"/>
              <w:bottom w:val="single" w:sz="8" w:space="0" w:color="auto"/>
              <w:right w:val="single" w:sz="4" w:space="0" w:color="auto"/>
            </w:tcBorders>
            <w:shd w:val="clear" w:color="auto" w:fill="auto"/>
            <w:noWrap/>
            <w:vAlign w:val="bottom"/>
            <w:hideMark/>
          </w:tcPr>
          <w:p w14:paraId="4EB74B77" w14:textId="77777777" w:rsidR="006860FE" w:rsidRPr="006860FE" w:rsidRDefault="006860FE" w:rsidP="00AB6E47">
            <w:pPr>
              <w:overflowPunct/>
              <w:autoSpaceDE/>
              <w:autoSpaceDN/>
              <w:adjustRightInd/>
              <w:jc w:val="right"/>
              <w:textAlignment w:val="auto"/>
              <w:rPr>
                <w:rFonts w:ascii="Arial" w:hAnsi="Arial" w:cs="Arial"/>
              </w:rPr>
            </w:pPr>
            <w:r w:rsidRPr="006860FE">
              <w:rPr>
                <w:rFonts w:ascii="Arial" w:hAnsi="Arial" w:cs="Arial"/>
              </w:rPr>
              <w:t>163,36 €</w:t>
            </w:r>
          </w:p>
        </w:tc>
        <w:tc>
          <w:tcPr>
            <w:tcW w:w="1417" w:type="dxa"/>
            <w:tcBorders>
              <w:top w:val="nil"/>
              <w:left w:val="nil"/>
              <w:bottom w:val="single" w:sz="8" w:space="0" w:color="auto"/>
              <w:right w:val="single" w:sz="4" w:space="0" w:color="auto"/>
            </w:tcBorders>
            <w:shd w:val="clear" w:color="auto" w:fill="auto"/>
            <w:noWrap/>
            <w:vAlign w:val="bottom"/>
            <w:hideMark/>
          </w:tcPr>
          <w:p w14:paraId="68D6FA95" w14:textId="77777777" w:rsidR="006860FE" w:rsidRPr="006860FE" w:rsidRDefault="006860FE" w:rsidP="00AB6E47">
            <w:pPr>
              <w:overflowPunct/>
              <w:autoSpaceDE/>
              <w:autoSpaceDN/>
              <w:adjustRightInd/>
              <w:jc w:val="right"/>
              <w:textAlignment w:val="auto"/>
              <w:rPr>
                <w:rFonts w:ascii="Arial" w:hAnsi="Arial" w:cs="Arial"/>
              </w:rPr>
            </w:pPr>
            <w:r w:rsidRPr="006860FE">
              <w:rPr>
                <w:rFonts w:ascii="Arial" w:hAnsi="Arial" w:cs="Arial"/>
              </w:rPr>
              <w:t>168,36 €</w:t>
            </w:r>
          </w:p>
        </w:tc>
        <w:tc>
          <w:tcPr>
            <w:tcW w:w="1418" w:type="dxa"/>
            <w:tcBorders>
              <w:top w:val="nil"/>
              <w:left w:val="nil"/>
              <w:bottom w:val="single" w:sz="8" w:space="0" w:color="auto"/>
              <w:right w:val="double" w:sz="6" w:space="0" w:color="auto"/>
            </w:tcBorders>
            <w:shd w:val="clear" w:color="auto" w:fill="auto"/>
            <w:noWrap/>
            <w:vAlign w:val="bottom"/>
            <w:hideMark/>
          </w:tcPr>
          <w:p w14:paraId="1A58049E" w14:textId="77777777" w:rsidR="006860FE" w:rsidRPr="006860FE" w:rsidRDefault="006860FE" w:rsidP="00AB6E47">
            <w:pPr>
              <w:overflowPunct/>
              <w:autoSpaceDE/>
              <w:autoSpaceDN/>
              <w:adjustRightInd/>
              <w:jc w:val="right"/>
              <w:textAlignment w:val="auto"/>
              <w:rPr>
                <w:rFonts w:ascii="Arial" w:hAnsi="Arial" w:cs="Arial"/>
              </w:rPr>
            </w:pPr>
            <w:r w:rsidRPr="006860FE">
              <w:rPr>
                <w:rFonts w:ascii="Arial" w:hAnsi="Arial" w:cs="Arial"/>
              </w:rPr>
              <w:t>176,55 €</w:t>
            </w:r>
          </w:p>
        </w:tc>
      </w:tr>
      <w:tr w:rsidR="006860FE" w:rsidRPr="006860FE" w14:paraId="2E5FF710" w14:textId="77777777" w:rsidTr="00AB6E47">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03FC43D1"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Monatsbetrag</w:t>
            </w:r>
          </w:p>
        </w:tc>
        <w:tc>
          <w:tcPr>
            <w:tcW w:w="1417" w:type="dxa"/>
            <w:tcBorders>
              <w:top w:val="nil"/>
              <w:left w:val="nil"/>
              <w:bottom w:val="nil"/>
              <w:right w:val="single" w:sz="4" w:space="0" w:color="auto"/>
            </w:tcBorders>
            <w:shd w:val="clear" w:color="auto" w:fill="auto"/>
            <w:noWrap/>
            <w:vAlign w:val="bottom"/>
            <w:hideMark/>
          </w:tcPr>
          <w:p w14:paraId="7FC26803"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2.578,28 € </w:t>
            </w:r>
          </w:p>
        </w:tc>
        <w:tc>
          <w:tcPr>
            <w:tcW w:w="1418" w:type="dxa"/>
            <w:tcBorders>
              <w:top w:val="nil"/>
              <w:left w:val="nil"/>
              <w:bottom w:val="nil"/>
              <w:right w:val="single" w:sz="4" w:space="0" w:color="auto"/>
            </w:tcBorders>
            <w:shd w:val="clear" w:color="auto" w:fill="auto"/>
            <w:noWrap/>
            <w:vAlign w:val="bottom"/>
            <w:hideMark/>
          </w:tcPr>
          <w:p w14:paraId="601D390B"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2.658,61 € </w:t>
            </w:r>
          </w:p>
        </w:tc>
        <w:tc>
          <w:tcPr>
            <w:tcW w:w="1559" w:type="dxa"/>
            <w:tcBorders>
              <w:top w:val="nil"/>
              <w:left w:val="nil"/>
              <w:bottom w:val="nil"/>
              <w:right w:val="single" w:sz="4" w:space="0" w:color="auto"/>
            </w:tcBorders>
            <w:shd w:val="clear" w:color="auto" w:fill="auto"/>
            <w:noWrap/>
            <w:vAlign w:val="bottom"/>
            <w:hideMark/>
          </w:tcPr>
          <w:p w14:paraId="5C2241DF"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2.730,75 € </w:t>
            </w:r>
          </w:p>
        </w:tc>
        <w:tc>
          <w:tcPr>
            <w:tcW w:w="1417" w:type="dxa"/>
            <w:tcBorders>
              <w:top w:val="nil"/>
              <w:left w:val="nil"/>
              <w:bottom w:val="nil"/>
              <w:right w:val="single" w:sz="4" w:space="0" w:color="auto"/>
            </w:tcBorders>
            <w:shd w:val="clear" w:color="auto" w:fill="auto"/>
            <w:noWrap/>
            <w:vAlign w:val="bottom"/>
            <w:hideMark/>
          </w:tcPr>
          <w:p w14:paraId="2945F0EA"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2.808,20 € </w:t>
            </w:r>
          </w:p>
        </w:tc>
        <w:tc>
          <w:tcPr>
            <w:tcW w:w="1418" w:type="dxa"/>
            <w:tcBorders>
              <w:top w:val="nil"/>
              <w:left w:val="nil"/>
              <w:bottom w:val="nil"/>
              <w:right w:val="double" w:sz="6" w:space="0" w:color="auto"/>
            </w:tcBorders>
            <w:shd w:val="clear" w:color="auto" w:fill="auto"/>
            <w:noWrap/>
            <w:vAlign w:val="bottom"/>
            <w:hideMark/>
          </w:tcPr>
          <w:p w14:paraId="7B37FFDF"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2.850,93 € </w:t>
            </w:r>
          </w:p>
        </w:tc>
      </w:tr>
      <w:tr w:rsidR="006860FE" w:rsidRPr="006860FE" w14:paraId="12F217FE" w14:textId="77777777" w:rsidTr="00AB6E47">
        <w:trPr>
          <w:trHeight w:val="300"/>
        </w:trPr>
        <w:tc>
          <w:tcPr>
            <w:tcW w:w="2552" w:type="dxa"/>
            <w:tcBorders>
              <w:top w:val="nil"/>
              <w:left w:val="double" w:sz="6" w:space="0" w:color="auto"/>
              <w:bottom w:val="single" w:sz="8" w:space="0" w:color="auto"/>
              <w:right w:val="single" w:sz="4" w:space="0" w:color="auto"/>
            </w:tcBorders>
            <w:shd w:val="clear" w:color="auto" w:fill="D9D9D9" w:themeFill="background1" w:themeFillShade="D9"/>
            <w:noWrap/>
            <w:vAlign w:val="bottom"/>
            <w:hideMark/>
          </w:tcPr>
          <w:p w14:paraId="3295EDC4"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Jahresbetrag</w:t>
            </w:r>
          </w:p>
        </w:tc>
        <w:tc>
          <w:tcPr>
            <w:tcW w:w="1417" w:type="dxa"/>
            <w:tcBorders>
              <w:top w:val="nil"/>
              <w:left w:val="nil"/>
              <w:bottom w:val="single" w:sz="8" w:space="0" w:color="auto"/>
              <w:right w:val="single" w:sz="4" w:space="0" w:color="auto"/>
            </w:tcBorders>
            <w:shd w:val="clear" w:color="auto" w:fill="auto"/>
            <w:noWrap/>
            <w:vAlign w:val="bottom"/>
            <w:hideMark/>
          </w:tcPr>
          <w:p w14:paraId="3CCF4096"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30.939,36 € </w:t>
            </w:r>
          </w:p>
        </w:tc>
        <w:tc>
          <w:tcPr>
            <w:tcW w:w="1418" w:type="dxa"/>
            <w:tcBorders>
              <w:top w:val="nil"/>
              <w:left w:val="nil"/>
              <w:bottom w:val="single" w:sz="8" w:space="0" w:color="auto"/>
              <w:right w:val="single" w:sz="4" w:space="0" w:color="auto"/>
            </w:tcBorders>
            <w:shd w:val="clear" w:color="auto" w:fill="auto"/>
            <w:noWrap/>
            <w:vAlign w:val="bottom"/>
            <w:hideMark/>
          </w:tcPr>
          <w:p w14:paraId="75ED7FCC"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31.903,29 € </w:t>
            </w:r>
          </w:p>
        </w:tc>
        <w:tc>
          <w:tcPr>
            <w:tcW w:w="1559" w:type="dxa"/>
            <w:tcBorders>
              <w:top w:val="nil"/>
              <w:left w:val="nil"/>
              <w:bottom w:val="single" w:sz="8" w:space="0" w:color="auto"/>
              <w:right w:val="single" w:sz="4" w:space="0" w:color="auto"/>
            </w:tcBorders>
            <w:shd w:val="clear" w:color="auto" w:fill="auto"/>
            <w:noWrap/>
            <w:vAlign w:val="bottom"/>
            <w:hideMark/>
          </w:tcPr>
          <w:p w14:paraId="334CB5FD"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32.768,95 € </w:t>
            </w:r>
          </w:p>
        </w:tc>
        <w:tc>
          <w:tcPr>
            <w:tcW w:w="1417" w:type="dxa"/>
            <w:tcBorders>
              <w:top w:val="nil"/>
              <w:left w:val="nil"/>
              <w:bottom w:val="single" w:sz="8" w:space="0" w:color="auto"/>
              <w:right w:val="single" w:sz="4" w:space="0" w:color="auto"/>
            </w:tcBorders>
            <w:shd w:val="clear" w:color="auto" w:fill="auto"/>
            <w:noWrap/>
            <w:vAlign w:val="bottom"/>
            <w:hideMark/>
          </w:tcPr>
          <w:p w14:paraId="20EE6E93"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33.698,39 € </w:t>
            </w:r>
          </w:p>
        </w:tc>
        <w:tc>
          <w:tcPr>
            <w:tcW w:w="1418" w:type="dxa"/>
            <w:tcBorders>
              <w:top w:val="nil"/>
              <w:left w:val="nil"/>
              <w:bottom w:val="single" w:sz="8" w:space="0" w:color="auto"/>
              <w:right w:val="double" w:sz="6" w:space="0" w:color="auto"/>
            </w:tcBorders>
            <w:shd w:val="clear" w:color="auto" w:fill="auto"/>
            <w:noWrap/>
            <w:vAlign w:val="bottom"/>
            <w:hideMark/>
          </w:tcPr>
          <w:p w14:paraId="7614B1B3"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34.211,12 € </w:t>
            </w:r>
          </w:p>
        </w:tc>
      </w:tr>
      <w:tr w:rsidR="006860FE" w:rsidRPr="006860FE" w14:paraId="4881CA18" w14:textId="77777777" w:rsidTr="004A33A2">
        <w:trPr>
          <w:trHeight w:val="300"/>
        </w:trPr>
        <w:tc>
          <w:tcPr>
            <w:tcW w:w="9781" w:type="dxa"/>
            <w:gridSpan w:val="6"/>
            <w:tcBorders>
              <w:top w:val="single" w:sz="8" w:space="0" w:color="auto"/>
              <w:left w:val="double" w:sz="6" w:space="0" w:color="auto"/>
              <w:bottom w:val="single" w:sz="8" w:space="0" w:color="auto"/>
              <w:right w:val="double" w:sz="6" w:space="0" w:color="000000"/>
            </w:tcBorders>
            <w:shd w:val="clear" w:color="auto" w:fill="auto"/>
            <w:noWrap/>
            <w:vAlign w:val="bottom"/>
            <w:hideMark/>
          </w:tcPr>
          <w:p w14:paraId="6C8F1767" w14:textId="26E65C2F" w:rsidR="006860FE" w:rsidRPr="006860FE" w:rsidRDefault="006860FE" w:rsidP="006860FE">
            <w:pPr>
              <w:overflowPunct/>
              <w:autoSpaceDE/>
              <w:autoSpaceDN/>
              <w:adjustRightInd/>
              <w:jc w:val="center"/>
              <w:textAlignment w:val="auto"/>
              <w:rPr>
                <w:rFonts w:ascii="Arial" w:hAnsi="Arial" w:cs="Arial"/>
                <w:b/>
                <w:bCs/>
                <w:color w:val="000000"/>
              </w:rPr>
            </w:pPr>
            <w:r w:rsidRPr="006860FE">
              <w:rPr>
                <w:rFonts w:ascii="Arial" w:hAnsi="Arial" w:cs="Arial"/>
                <w:b/>
                <w:bCs/>
                <w:color w:val="000000"/>
              </w:rPr>
              <w:t>Mindestalimentation (115% des Grundsicherungsbedarfs</w:t>
            </w:r>
            <w:r w:rsidR="005A071B">
              <w:rPr>
                <w:rFonts w:ascii="Arial" w:hAnsi="Arial" w:cs="Arial"/>
                <w:b/>
                <w:bCs/>
                <w:color w:val="000000"/>
              </w:rPr>
              <w:t>)</w:t>
            </w:r>
          </w:p>
        </w:tc>
      </w:tr>
      <w:tr w:rsidR="006860FE" w:rsidRPr="006860FE" w14:paraId="132F22FD" w14:textId="77777777" w:rsidTr="00AB6E47">
        <w:trPr>
          <w:trHeight w:val="288"/>
        </w:trPr>
        <w:tc>
          <w:tcPr>
            <w:tcW w:w="2552" w:type="dxa"/>
            <w:tcBorders>
              <w:top w:val="nil"/>
              <w:left w:val="double" w:sz="6" w:space="0" w:color="auto"/>
              <w:bottom w:val="nil"/>
              <w:right w:val="single" w:sz="4" w:space="0" w:color="auto"/>
            </w:tcBorders>
            <w:shd w:val="clear" w:color="auto" w:fill="D9D9D9" w:themeFill="background1" w:themeFillShade="D9"/>
            <w:noWrap/>
            <w:vAlign w:val="bottom"/>
            <w:hideMark/>
          </w:tcPr>
          <w:p w14:paraId="3632E857"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Monatsbetrag</w:t>
            </w:r>
          </w:p>
        </w:tc>
        <w:tc>
          <w:tcPr>
            <w:tcW w:w="1417" w:type="dxa"/>
            <w:tcBorders>
              <w:top w:val="nil"/>
              <w:left w:val="nil"/>
              <w:bottom w:val="nil"/>
              <w:right w:val="single" w:sz="4" w:space="0" w:color="auto"/>
            </w:tcBorders>
            <w:shd w:val="clear" w:color="auto" w:fill="auto"/>
            <w:noWrap/>
            <w:vAlign w:val="bottom"/>
            <w:hideMark/>
          </w:tcPr>
          <w:p w14:paraId="5A08217A"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2.965,02 € </w:t>
            </w:r>
          </w:p>
        </w:tc>
        <w:tc>
          <w:tcPr>
            <w:tcW w:w="1418" w:type="dxa"/>
            <w:tcBorders>
              <w:top w:val="nil"/>
              <w:left w:val="nil"/>
              <w:bottom w:val="nil"/>
              <w:right w:val="single" w:sz="4" w:space="0" w:color="auto"/>
            </w:tcBorders>
            <w:shd w:val="clear" w:color="auto" w:fill="auto"/>
            <w:noWrap/>
            <w:vAlign w:val="bottom"/>
            <w:hideMark/>
          </w:tcPr>
          <w:p w14:paraId="04F9374A"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3.057,40 € </w:t>
            </w:r>
          </w:p>
        </w:tc>
        <w:tc>
          <w:tcPr>
            <w:tcW w:w="1559" w:type="dxa"/>
            <w:tcBorders>
              <w:top w:val="nil"/>
              <w:left w:val="nil"/>
              <w:bottom w:val="nil"/>
              <w:right w:val="single" w:sz="4" w:space="0" w:color="auto"/>
            </w:tcBorders>
            <w:shd w:val="clear" w:color="auto" w:fill="auto"/>
            <w:noWrap/>
            <w:vAlign w:val="bottom"/>
            <w:hideMark/>
          </w:tcPr>
          <w:p w14:paraId="67CACFEC"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3.140,36 € </w:t>
            </w:r>
          </w:p>
        </w:tc>
        <w:tc>
          <w:tcPr>
            <w:tcW w:w="1417" w:type="dxa"/>
            <w:tcBorders>
              <w:top w:val="nil"/>
              <w:left w:val="nil"/>
              <w:bottom w:val="nil"/>
              <w:right w:val="single" w:sz="4" w:space="0" w:color="auto"/>
            </w:tcBorders>
            <w:shd w:val="clear" w:color="auto" w:fill="auto"/>
            <w:noWrap/>
            <w:vAlign w:val="bottom"/>
            <w:hideMark/>
          </w:tcPr>
          <w:p w14:paraId="6A9779DB"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3.229,43 € </w:t>
            </w:r>
          </w:p>
        </w:tc>
        <w:tc>
          <w:tcPr>
            <w:tcW w:w="1418" w:type="dxa"/>
            <w:tcBorders>
              <w:top w:val="nil"/>
              <w:left w:val="nil"/>
              <w:bottom w:val="nil"/>
              <w:right w:val="double" w:sz="6" w:space="0" w:color="auto"/>
            </w:tcBorders>
            <w:shd w:val="clear" w:color="auto" w:fill="auto"/>
            <w:noWrap/>
            <w:vAlign w:val="bottom"/>
            <w:hideMark/>
          </w:tcPr>
          <w:p w14:paraId="502AC0B1"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3.278,57 € </w:t>
            </w:r>
          </w:p>
        </w:tc>
      </w:tr>
      <w:tr w:rsidR="006860FE" w:rsidRPr="006860FE" w14:paraId="720C9782" w14:textId="77777777" w:rsidTr="00AB6E47">
        <w:trPr>
          <w:trHeight w:val="300"/>
        </w:trPr>
        <w:tc>
          <w:tcPr>
            <w:tcW w:w="2552"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125E11D7" w14:textId="77777777" w:rsidR="006860FE" w:rsidRPr="006860FE" w:rsidRDefault="006860FE" w:rsidP="006860FE">
            <w:pPr>
              <w:overflowPunct/>
              <w:autoSpaceDE/>
              <w:autoSpaceDN/>
              <w:adjustRightInd/>
              <w:textAlignment w:val="auto"/>
              <w:rPr>
                <w:rFonts w:ascii="Arial" w:hAnsi="Arial" w:cs="Arial"/>
                <w:b/>
                <w:bCs/>
                <w:color w:val="000000"/>
              </w:rPr>
            </w:pPr>
            <w:r w:rsidRPr="006860FE">
              <w:rPr>
                <w:rFonts w:ascii="Arial" w:hAnsi="Arial" w:cs="Arial"/>
                <w:b/>
                <w:bCs/>
                <w:color w:val="000000"/>
              </w:rPr>
              <w:t>Jahresbetrag</w:t>
            </w:r>
          </w:p>
        </w:tc>
        <w:tc>
          <w:tcPr>
            <w:tcW w:w="1417" w:type="dxa"/>
            <w:tcBorders>
              <w:top w:val="nil"/>
              <w:left w:val="nil"/>
              <w:bottom w:val="double" w:sz="6" w:space="0" w:color="auto"/>
              <w:right w:val="single" w:sz="4" w:space="0" w:color="auto"/>
            </w:tcBorders>
            <w:shd w:val="clear" w:color="auto" w:fill="auto"/>
            <w:noWrap/>
            <w:vAlign w:val="bottom"/>
            <w:hideMark/>
          </w:tcPr>
          <w:p w14:paraId="3DDF14FC"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35.580,26 € </w:t>
            </w:r>
          </w:p>
        </w:tc>
        <w:tc>
          <w:tcPr>
            <w:tcW w:w="1418" w:type="dxa"/>
            <w:tcBorders>
              <w:top w:val="nil"/>
              <w:left w:val="nil"/>
              <w:bottom w:val="double" w:sz="6" w:space="0" w:color="auto"/>
              <w:right w:val="single" w:sz="4" w:space="0" w:color="auto"/>
            </w:tcBorders>
            <w:shd w:val="clear" w:color="auto" w:fill="auto"/>
            <w:noWrap/>
            <w:vAlign w:val="bottom"/>
            <w:hideMark/>
          </w:tcPr>
          <w:p w14:paraId="3234E402"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36.688,78 € </w:t>
            </w:r>
          </w:p>
        </w:tc>
        <w:tc>
          <w:tcPr>
            <w:tcW w:w="1559" w:type="dxa"/>
            <w:tcBorders>
              <w:top w:val="nil"/>
              <w:left w:val="nil"/>
              <w:bottom w:val="double" w:sz="6" w:space="0" w:color="auto"/>
              <w:right w:val="single" w:sz="4" w:space="0" w:color="auto"/>
            </w:tcBorders>
            <w:shd w:val="clear" w:color="auto" w:fill="auto"/>
            <w:noWrap/>
            <w:vAlign w:val="bottom"/>
            <w:hideMark/>
          </w:tcPr>
          <w:p w14:paraId="321C001D"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37.684,29 € </w:t>
            </w:r>
          </w:p>
        </w:tc>
        <w:tc>
          <w:tcPr>
            <w:tcW w:w="1417" w:type="dxa"/>
            <w:tcBorders>
              <w:top w:val="nil"/>
              <w:left w:val="nil"/>
              <w:bottom w:val="double" w:sz="6" w:space="0" w:color="auto"/>
              <w:right w:val="single" w:sz="4" w:space="0" w:color="auto"/>
            </w:tcBorders>
            <w:shd w:val="clear" w:color="auto" w:fill="auto"/>
            <w:noWrap/>
            <w:vAlign w:val="bottom"/>
            <w:hideMark/>
          </w:tcPr>
          <w:p w14:paraId="773D14C6"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38.753,15 € </w:t>
            </w:r>
          </w:p>
        </w:tc>
        <w:tc>
          <w:tcPr>
            <w:tcW w:w="1418" w:type="dxa"/>
            <w:tcBorders>
              <w:top w:val="nil"/>
              <w:left w:val="nil"/>
              <w:bottom w:val="double" w:sz="6" w:space="0" w:color="auto"/>
              <w:right w:val="double" w:sz="6" w:space="0" w:color="auto"/>
            </w:tcBorders>
            <w:shd w:val="clear" w:color="auto" w:fill="auto"/>
            <w:noWrap/>
            <w:vAlign w:val="bottom"/>
            <w:hideMark/>
          </w:tcPr>
          <w:p w14:paraId="7D52F1A1" w14:textId="77777777" w:rsidR="006860FE" w:rsidRPr="006860FE" w:rsidRDefault="006860FE" w:rsidP="00AB6E47">
            <w:pPr>
              <w:overflowPunct/>
              <w:autoSpaceDE/>
              <w:autoSpaceDN/>
              <w:adjustRightInd/>
              <w:jc w:val="right"/>
              <w:textAlignment w:val="auto"/>
              <w:rPr>
                <w:rFonts w:ascii="Arial" w:hAnsi="Arial" w:cs="Arial"/>
                <w:color w:val="000000"/>
              </w:rPr>
            </w:pPr>
            <w:r w:rsidRPr="006860FE">
              <w:rPr>
                <w:rFonts w:ascii="Arial" w:hAnsi="Arial" w:cs="Arial"/>
                <w:color w:val="000000"/>
              </w:rPr>
              <w:t xml:space="preserve">  39.342,79 € </w:t>
            </w:r>
          </w:p>
        </w:tc>
      </w:tr>
    </w:tbl>
    <w:p w14:paraId="632BA552" w14:textId="77777777" w:rsidR="006860FE" w:rsidRDefault="006860FE" w:rsidP="00C0399E">
      <w:pPr>
        <w:overflowPunct/>
        <w:spacing w:line="276" w:lineRule="auto"/>
        <w:textAlignment w:val="auto"/>
        <w:rPr>
          <w:rFonts w:ascii="Arial" w:eastAsia="Calibri" w:hAnsi="Arial" w:cs="Arial"/>
          <w:sz w:val="24"/>
          <w:szCs w:val="24"/>
          <w:lang w:eastAsia="en-US"/>
        </w:rPr>
      </w:pPr>
    </w:p>
    <w:p w14:paraId="6FE6D123" w14:textId="3F7EFFBF" w:rsidR="00E323C0" w:rsidRDefault="00CE0394" w:rsidP="00392EA4">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D</w:t>
      </w:r>
      <w:r w:rsidR="001A71B1">
        <w:rPr>
          <w:rFonts w:ascii="Arial" w:eastAsia="Calibri" w:hAnsi="Arial" w:cs="Arial"/>
          <w:sz w:val="24"/>
          <w:szCs w:val="24"/>
          <w:lang w:eastAsia="en-US"/>
        </w:rPr>
        <w:t xml:space="preserve">ie </w:t>
      </w:r>
      <w:r w:rsidR="00E35D5B" w:rsidRPr="00E35D5B">
        <w:rPr>
          <w:rFonts w:ascii="Arial" w:eastAsia="Calibri" w:hAnsi="Arial" w:cs="Arial"/>
          <w:sz w:val="24"/>
          <w:szCs w:val="24"/>
          <w:lang w:eastAsia="en-US"/>
        </w:rPr>
        <w:t xml:space="preserve">Bedarfsberechnung der Unterkunftskosten, welche </w:t>
      </w:r>
      <w:r w:rsidR="003F5866">
        <w:rPr>
          <w:rFonts w:ascii="Arial" w:eastAsia="Calibri" w:hAnsi="Arial" w:cs="Arial"/>
          <w:sz w:val="24"/>
          <w:szCs w:val="24"/>
          <w:lang w:eastAsia="en-US"/>
        </w:rPr>
        <w:t xml:space="preserve">das </w:t>
      </w:r>
      <w:r w:rsidR="00E35D5B" w:rsidRPr="00E35D5B">
        <w:rPr>
          <w:rFonts w:ascii="Arial" w:eastAsia="Calibri" w:hAnsi="Arial" w:cs="Arial"/>
          <w:sz w:val="24"/>
          <w:szCs w:val="24"/>
          <w:lang w:eastAsia="en-US"/>
        </w:rPr>
        <w:t>Land Berlin bei Erlass des Besoldungs- und Versorgungsanpassungsgesetz für das Jahr 2021 (BBesVersAnpG 2021) vorgenommen hat</w:t>
      </w:r>
      <w:r>
        <w:rPr>
          <w:rFonts w:ascii="Arial" w:eastAsia="Calibri" w:hAnsi="Arial" w:cs="Arial"/>
          <w:sz w:val="24"/>
          <w:szCs w:val="24"/>
          <w:lang w:eastAsia="en-US"/>
        </w:rPr>
        <w:t xml:space="preserve">, </w:t>
      </w:r>
      <w:r w:rsidR="00EE798E">
        <w:rPr>
          <w:rFonts w:ascii="Arial" w:eastAsia="Calibri" w:hAnsi="Arial" w:cs="Arial"/>
          <w:sz w:val="24"/>
          <w:szCs w:val="24"/>
          <w:lang w:eastAsia="en-US"/>
        </w:rPr>
        <w:t xml:space="preserve">ist </w:t>
      </w:r>
      <w:r w:rsidR="001A71B1">
        <w:rPr>
          <w:rFonts w:ascii="Arial" w:eastAsia="Calibri" w:hAnsi="Arial" w:cs="Arial"/>
          <w:sz w:val="24"/>
          <w:szCs w:val="24"/>
          <w:lang w:eastAsia="en-US"/>
        </w:rPr>
        <w:t>hingegen</w:t>
      </w:r>
      <w:r w:rsidR="00EE798E">
        <w:rPr>
          <w:rFonts w:ascii="Arial" w:eastAsia="Calibri" w:hAnsi="Arial" w:cs="Arial"/>
          <w:sz w:val="24"/>
          <w:szCs w:val="24"/>
          <w:lang w:eastAsia="en-US"/>
        </w:rPr>
        <w:t xml:space="preserve"> </w:t>
      </w:r>
      <w:r>
        <w:rPr>
          <w:rFonts w:ascii="Arial" w:eastAsia="Calibri" w:hAnsi="Arial" w:cs="Arial"/>
          <w:sz w:val="24"/>
          <w:szCs w:val="24"/>
          <w:lang w:eastAsia="en-US"/>
        </w:rPr>
        <w:t xml:space="preserve">nicht </w:t>
      </w:r>
      <w:r w:rsidR="00EE798E">
        <w:rPr>
          <w:rFonts w:ascii="Arial" w:eastAsia="Calibri" w:hAnsi="Arial" w:cs="Arial"/>
          <w:sz w:val="24"/>
          <w:szCs w:val="24"/>
          <w:lang w:eastAsia="en-US"/>
        </w:rPr>
        <w:t>zu Grunde zu legen</w:t>
      </w:r>
      <w:r w:rsidR="00E35D5B" w:rsidRPr="00E35D5B">
        <w:rPr>
          <w:rFonts w:ascii="Arial" w:eastAsia="Calibri" w:hAnsi="Arial" w:cs="Arial"/>
          <w:sz w:val="24"/>
          <w:szCs w:val="24"/>
          <w:lang w:eastAsia="en-US"/>
        </w:rPr>
        <w:t xml:space="preserve">. Diese </w:t>
      </w:r>
      <w:r w:rsidR="00052788" w:rsidRPr="00E35D5B">
        <w:rPr>
          <w:rFonts w:ascii="Arial" w:eastAsia="Calibri" w:hAnsi="Arial" w:cs="Arial"/>
          <w:sz w:val="24"/>
          <w:szCs w:val="24"/>
          <w:lang w:eastAsia="en-US"/>
        </w:rPr>
        <w:t>entspr</w:t>
      </w:r>
      <w:r w:rsidR="00052788">
        <w:rPr>
          <w:rFonts w:ascii="Arial" w:eastAsia="Calibri" w:hAnsi="Arial" w:cs="Arial"/>
          <w:sz w:val="24"/>
          <w:szCs w:val="24"/>
          <w:lang w:eastAsia="en-US"/>
        </w:rPr>
        <w:t>i</w:t>
      </w:r>
      <w:r w:rsidR="00052788" w:rsidRPr="00E35D5B">
        <w:rPr>
          <w:rFonts w:ascii="Arial" w:eastAsia="Calibri" w:hAnsi="Arial" w:cs="Arial"/>
          <w:sz w:val="24"/>
          <w:szCs w:val="24"/>
          <w:lang w:eastAsia="en-US"/>
        </w:rPr>
        <w:t>ch</w:t>
      </w:r>
      <w:r w:rsidR="00052788">
        <w:rPr>
          <w:rFonts w:ascii="Arial" w:eastAsia="Calibri" w:hAnsi="Arial" w:cs="Arial"/>
          <w:sz w:val="24"/>
          <w:szCs w:val="24"/>
          <w:lang w:eastAsia="en-US"/>
        </w:rPr>
        <w:t>t</w:t>
      </w:r>
      <w:r w:rsidR="00052788" w:rsidRPr="00E35D5B">
        <w:rPr>
          <w:rFonts w:ascii="Arial" w:eastAsia="Calibri" w:hAnsi="Arial" w:cs="Arial"/>
          <w:sz w:val="24"/>
          <w:szCs w:val="24"/>
          <w:lang w:eastAsia="en-US"/>
        </w:rPr>
        <w:t xml:space="preserve"> </w:t>
      </w:r>
      <w:r w:rsidR="00E35D5B" w:rsidRPr="00E35D5B">
        <w:rPr>
          <w:rFonts w:ascii="Arial" w:eastAsia="Calibri" w:hAnsi="Arial" w:cs="Arial"/>
          <w:sz w:val="24"/>
          <w:szCs w:val="24"/>
          <w:lang w:eastAsia="en-US"/>
        </w:rPr>
        <w:t xml:space="preserve">weder den Vorgaben des </w:t>
      </w:r>
      <w:r>
        <w:rPr>
          <w:rFonts w:ascii="Arial" w:eastAsia="Calibri" w:hAnsi="Arial" w:cs="Arial"/>
          <w:sz w:val="24"/>
          <w:szCs w:val="24"/>
          <w:lang w:eastAsia="en-US"/>
        </w:rPr>
        <w:t xml:space="preserve">Bundesverfassungsgerichts </w:t>
      </w:r>
      <w:r w:rsidR="00E35D5B" w:rsidRPr="00E35D5B">
        <w:rPr>
          <w:rFonts w:ascii="Arial" w:eastAsia="Calibri" w:hAnsi="Arial" w:cs="Arial"/>
          <w:sz w:val="24"/>
          <w:szCs w:val="24"/>
          <w:lang w:eastAsia="en-US"/>
        </w:rPr>
        <w:t>zur Vergleichsberechnung der Unterkunftskosten nach dem 95</w:t>
      </w:r>
      <w:r w:rsidR="001A71B1">
        <w:rPr>
          <w:rFonts w:ascii="Arial" w:eastAsia="Calibri" w:hAnsi="Arial" w:cs="Arial"/>
          <w:sz w:val="24"/>
          <w:szCs w:val="24"/>
          <w:lang w:eastAsia="en-US"/>
        </w:rPr>
        <w:t>-</w:t>
      </w:r>
      <w:r w:rsidR="00E35D5B" w:rsidRPr="00E35D5B">
        <w:rPr>
          <w:rFonts w:ascii="Arial" w:eastAsia="Calibri" w:hAnsi="Arial" w:cs="Arial"/>
          <w:sz w:val="24"/>
          <w:szCs w:val="24"/>
          <w:lang w:eastAsia="en-US"/>
        </w:rPr>
        <w:t>%-Perzentil noch den Vorgaben zur Bestimmung der Heizkosten nach dem bundesweiten Heizkostenspiegel (vgl. A</w:t>
      </w:r>
      <w:r w:rsidR="00AB00F6">
        <w:rPr>
          <w:rFonts w:ascii="Arial" w:eastAsia="Calibri" w:hAnsi="Arial" w:cs="Arial"/>
          <w:sz w:val="24"/>
          <w:szCs w:val="24"/>
          <w:lang w:eastAsia="en-US"/>
        </w:rPr>
        <w:t>H</w:t>
      </w:r>
      <w:r w:rsidR="00E35D5B" w:rsidRPr="00E35D5B">
        <w:rPr>
          <w:rFonts w:ascii="Arial" w:eastAsia="Calibri" w:hAnsi="Arial" w:cs="Arial"/>
          <w:sz w:val="24"/>
          <w:szCs w:val="24"/>
          <w:lang w:eastAsia="en-US"/>
        </w:rPr>
        <w:t>-Drs. 18/3285, S. 37</w:t>
      </w:r>
      <w:r w:rsidR="000C3CAF">
        <w:rPr>
          <w:rFonts w:ascii="Arial" w:eastAsia="Calibri" w:hAnsi="Arial" w:cs="Arial"/>
          <w:sz w:val="24"/>
          <w:szCs w:val="24"/>
          <w:lang w:eastAsia="en-US"/>
        </w:rPr>
        <w:t xml:space="preserve"> </w:t>
      </w:r>
      <w:r w:rsidR="00E35D5B" w:rsidRPr="00E35D5B">
        <w:rPr>
          <w:rFonts w:ascii="Arial" w:eastAsia="Calibri" w:hAnsi="Arial" w:cs="Arial"/>
          <w:sz w:val="24"/>
          <w:szCs w:val="24"/>
          <w:lang w:eastAsia="en-US"/>
        </w:rPr>
        <w:t>ff</w:t>
      </w:r>
      <w:r w:rsidR="000C3CAF">
        <w:rPr>
          <w:rFonts w:ascii="Arial" w:eastAsia="Calibri" w:hAnsi="Arial" w:cs="Arial"/>
          <w:sz w:val="24"/>
          <w:szCs w:val="24"/>
          <w:lang w:eastAsia="en-US"/>
        </w:rPr>
        <w:t>.</w:t>
      </w:r>
      <w:r w:rsidR="00E35D5B" w:rsidRPr="00E35D5B">
        <w:rPr>
          <w:rFonts w:ascii="Arial" w:eastAsia="Calibri" w:hAnsi="Arial" w:cs="Arial"/>
          <w:sz w:val="24"/>
          <w:szCs w:val="24"/>
          <w:lang w:eastAsia="en-US"/>
        </w:rPr>
        <w:t>). Die Berechnungen des Landes verlassen den Sicherstellungsauftrag, wonach die nach den Vorgaben des Bundesverfassungsgerichts ermittelte Mindestbesoldung unabhängig vom Wohnort des Beamten ausreichen muss, um eine angemessene Wohnung bezahlen zu können (vgl. BVerfG, Beschl</w:t>
      </w:r>
      <w:r w:rsidR="00EB750D">
        <w:rPr>
          <w:rFonts w:ascii="Arial" w:eastAsia="Calibri" w:hAnsi="Arial" w:cs="Arial"/>
          <w:sz w:val="24"/>
          <w:szCs w:val="24"/>
          <w:lang w:eastAsia="en-US"/>
        </w:rPr>
        <w:t>.</w:t>
      </w:r>
      <w:r w:rsidR="00E35D5B" w:rsidRPr="00E35D5B">
        <w:rPr>
          <w:rFonts w:ascii="Arial" w:eastAsia="Calibri" w:hAnsi="Arial" w:cs="Arial"/>
          <w:sz w:val="24"/>
          <w:szCs w:val="24"/>
          <w:lang w:eastAsia="en-US"/>
        </w:rPr>
        <w:t xml:space="preserve"> v</w:t>
      </w:r>
      <w:r w:rsidR="00EB750D">
        <w:rPr>
          <w:rFonts w:ascii="Arial" w:eastAsia="Calibri" w:hAnsi="Arial" w:cs="Arial"/>
          <w:sz w:val="24"/>
          <w:szCs w:val="24"/>
          <w:lang w:eastAsia="en-US"/>
        </w:rPr>
        <w:t>.</w:t>
      </w:r>
      <w:r w:rsidR="00E35D5B" w:rsidRPr="00E35D5B">
        <w:rPr>
          <w:rFonts w:ascii="Arial" w:eastAsia="Calibri" w:hAnsi="Arial" w:cs="Arial"/>
          <w:sz w:val="24"/>
          <w:szCs w:val="24"/>
          <w:lang w:eastAsia="en-US"/>
        </w:rPr>
        <w:t xml:space="preserve"> 4.</w:t>
      </w:r>
      <w:r w:rsidR="00EB750D">
        <w:rPr>
          <w:rFonts w:ascii="Arial" w:eastAsia="Calibri" w:hAnsi="Arial" w:cs="Arial"/>
          <w:sz w:val="24"/>
          <w:szCs w:val="24"/>
          <w:lang w:eastAsia="en-US"/>
        </w:rPr>
        <w:t> </w:t>
      </w:r>
      <w:r w:rsidR="00E35D5B" w:rsidRPr="00E35D5B">
        <w:rPr>
          <w:rFonts w:ascii="Arial" w:eastAsia="Calibri" w:hAnsi="Arial" w:cs="Arial"/>
          <w:sz w:val="24"/>
          <w:szCs w:val="24"/>
          <w:lang w:eastAsia="en-US"/>
        </w:rPr>
        <w:t>Mai 2020 – 2 BvL 4/18</w:t>
      </w:r>
      <w:r w:rsidR="000140AD">
        <w:rPr>
          <w:rFonts w:ascii="Arial" w:eastAsia="Calibri" w:hAnsi="Arial" w:cs="Arial"/>
          <w:sz w:val="24"/>
          <w:szCs w:val="24"/>
          <w:lang w:eastAsia="en-US"/>
        </w:rPr>
        <w:t xml:space="preserve"> – juris </w:t>
      </w:r>
      <w:r w:rsidR="00E35D5B" w:rsidRPr="00E35D5B">
        <w:rPr>
          <w:rFonts w:ascii="Arial" w:eastAsia="Calibri" w:hAnsi="Arial" w:cs="Arial"/>
          <w:sz w:val="24"/>
          <w:szCs w:val="24"/>
          <w:lang w:eastAsia="en-US"/>
        </w:rPr>
        <w:t>Rn. 59).</w:t>
      </w:r>
    </w:p>
    <w:p w14:paraId="55B49459" w14:textId="77777777" w:rsidR="00E323C0" w:rsidRDefault="00E323C0" w:rsidP="00392EA4">
      <w:pPr>
        <w:overflowPunct/>
        <w:spacing w:line="276" w:lineRule="auto"/>
        <w:jc w:val="both"/>
        <w:textAlignment w:val="auto"/>
        <w:rPr>
          <w:rFonts w:ascii="Arial" w:eastAsia="Calibri" w:hAnsi="Arial" w:cs="Arial"/>
          <w:sz w:val="24"/>
          <w:szCs w:val="24"/>
          <w:lang w:eastAsia="en-US"/>
        </w:rPr>
      </w:pPr>
    </w:p>
    <w:p w14:paraId="57606269" w14:textId="4F5BF9C3" w:rsidR="005F29A4" w:rsidRDefault="006952E1" w:rsidP="00392EA4">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(3</w:t>
      </w:r>
      <w:r w:rsidR="005F29A4" w:rsidRPr="005F29A4">
        <w:rPr>
          <w:rFonts w:ascii="Arial" w:eastAsia="Calibri" w:hAnsi="Arial" w:cs="Arial"/>
          <w:sz w:val="24"/>
          <w:szCs w:val="24"/>
          <w:lang w:eastAsia="en-US"/>
        </w:rPr>
        <w:t xml:space="preserve">) Vergleichsgegenstand </w:t>
      </w:r>
      <w:r w:rsidR="00347750">
        <w:rPr>
          <w:rFonts w:ascii="Arial" w:eastAsia="Calibri" w:hAnsi="Arial" w:cs="Arial"/>
          <w:sz w:val="24"/>
          <w:szCs w:val="24"/>
          <w:lang w:eastAsia="en-US"/>
        </w:rPr>
        <w:t>ist</w:t>
      </w:r>
      <w:r w:rsidR="00347750" w:rsidRPr="005F29A4">
        <w:rPr>
          <w:rFonts w:ascii="Arial" w:eastAsia="Calibri" w:hAnsi="Arial" w:cs="Arial"/>
          <w:sz w:val="24"/>
          <w:szCs w:val="24"/>
          <w:lang w:eastAsia="en-US"/>
        </w:rPr>
        <w:t xml:space="preserve"> </w:t>
      </w:r>
      <w:r w:rsidR="005F29A4" w:rsidRPr="005F29A4">
        <w:rPr>
          <w:rFonts w:ascii="Arial" w:eastAsia="Calibri" w:hAnsi="Arial" w:cs="Arial"/>
          <w:sz w:val="24"/>
          <w:szCs w:val="24"/>
          <w:lang w:eastAsia="en-US"/>
        </w:rPr>
        <w:t xml:space="preserve">die Nettoalimentation eines in der niedrigsten Besoldungsgruppe in der niedrigsten Erfahrungsstufe besoldeten Beamten, der verheiratet ist und zwei Kinder hat. </w:t>
      </w:r>
      <w:r w:rsidR="009C467B">
        <w:rPr>
          <w:rFonts w:ascii="Arial" w:eastAsia="Calibri" w:hAnsi="Arial" w:cs="Arial"/>
          <w:sz w:val="24"/>
          <w:szCs w:val="24"/>
          <w:lang w:eastAsia="en-US"/>
        </w:rPr>
        <w:t xml:space="preserve">Im streitgegenständlichen Zeitraum ist </w:t>
      </w:r>
      <w:r w:rsidR="00347750">
        <w:rPr>
          <w:rFonts w:ascii="Arial" w:eastAsia="Calibri" w:hAnsi="Arial" w:cs="Arial"/>
          <w:sz w:val="24"/>
          <w:szCs w:val="24"/>
          <w:lang w:eastAsia="en-US"/>
        </w:rPr>
        <w:t xml:space="preserve">auf </w:t>
      </w:r>
      <w:r w:rsidR="005F29A4" w:rsidRPr="005F29A4">
        <w:rPr>
          <w:rFonts w:ascii="Arial" w:eastAsia="Calibri" w:hAnsi="Arial" w:cs="Arial"/>
          <w:sz w:val="24"/>
          <w:szCs w:val="24"/>
          <w:lang w:eastAsia="en-US"/>
        </w:rPr>
        <w:t>die Besoldungsstufe A 4 (Stufe 1) abzustellen.</w:t>
      </w:r>
      <w:r w:rsidR="00DB49D4">
        <w:rPr>
          <w:rFonts w:ascii="Arial" w:eastAsia="Calibri" w:hAnsi="Arial" w:cs="Arial"/>
          <w:sz w:val="24"/>
          <w:szCs w:val="24"/>
          <w:lang w:eastAsia="en-US"/>
        </w:rPr>
        <w:t xml:space="preserve"> </w:t>
      </w:r>
      <w:r w:rsidR="005F29A4" w:rsidRPr="005F29A4">
        <w:rPr>
          <w:rFonts w:ascii="Arial" w:eastAsia="Calibri" w:hAnsi="Arial" w:cs="Arial"/>
          <w:sz w:val="24"/>
          <w:szCs w:val="24"/>
          <w:lang w:eastAsia="en-US"/>
        </w:rPr>
        <w:t>Die Jahresnettoalimentation berechnet sich danach wie folgt:</w:t>
      </w:r>
    </w:p>
    <w:p w14:paraId="194D8474" w14:textId="77777777" w:rsidR="00C4567E" w:rsidRDefault="00C4567E" w:rsidP="00C0399E">
      <w:pPr>
        <w:overflowPunct/>
        <w:spacing w:line="276" w:lineRule="auto"/>
        <w:textAlignment w:val="auto"/>
        <w:rPr>
          <w:rFonts w:ascii="Arial" w:eastAsia="Calibri" w:hAnsi="Arial" w:cs="Arial"/>
          <w:sz w:val="24"/>
          <w:szCs w:val="24"/>
          <w:lang w:eastAsia="en-US"/>
        </w:rPr>
      </w:pPr>
    </w:p>
    <w:tbl>
      <w:tblPr>
        <w:tblW w:w="10100" w:type="dxa"/>
        <w:tblCellMar>
          <w:left w:w="70" w:type="dxa"/>
          <w:right w:w="70" w:type="dxa"/>
        </w:tblCellMar>
        <w:tblLook w:val="04A0" w:firstRow="1" w:lastRow="0" w:firstColumn="1" w:lastColumn="0" w:noHBand="0" w:noVBand="1"/>
      </w:tblPr>
      <w:tblGrid>
        <w:gridCol w:w="2812"/>
        <w:gridCol w:w="1418"/>
        <w:gridCol w:w="1417"/>
        <w:gridCol w:w="1418"/>
        <w:gridCol w:w="1559"/>
        <w:gridCol w:w="1476"/>
      </w:tblGrid>
      <w:tr w:rsidR="00D41674" w:rsidRPr="00237B3D" w14:paraId="165CBB22" w14:textId="77777777" w:rsidTr="00D41674">
        <w:trPr>
          <w:trHeight w:val="300"/>
        </w:trPr>
        <w:tc>
          <w:tcPr>
            <w:tcW w:w="2812"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FD4EDC9"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 </w:t>
            </w:r>
          </w:p>
        </w:tc>
        <w:tc>
          <w:tcPr>
            <w:tcW w:w="1418" w:type="dxa"/>
            <w:tcBorders>
              <w:top w:val="double" w:sz="6" w:space="0" w:color="auto"/>
              <w:left w:val="nil"/>
              <w:bottom w:val="single" w:sz="4" w:space="0" w:color="auto"/>
              <w:right w:val="single" w:sz="4" w:space="0" w:color="auto"/>
            </w:tcBorders>
            <w:shd w:val="clear" w:color="auto" w:fill="auto"/>
            <w:noWrap/>
            <w:vAlign w:val="bottom"/>
            <w:hideMark/>
          </w:tcPr>
          <w:p w14:paraId="06B330BC" w14:textId="77777777" w:rsidR="00237B3D" w:rsidRPr="00237B3D" w:rsidRDefault="00237B3D" w:rsidP="00237B3D">
            <w:pPr>
              <w:overflowPunct/>
              <w:autoSpaceDE/>
              <w:autoSpaceDN/>
              <w:adjustRightInd/>
              <w:jc w:val="center"/>
              <w:textAlignment w:val="auto"/>
              <w:rPr>
                <w:rFonts w:ascii="Arial" w:hAnsi="Arial" w:cs="Arial"/>
                <w:b/>
                <w:bCs/>
                <w:color w:val="000000"/>
                <w:sz w:val="18"/>
                <w:szCs w:val="18"/>
              </w:rPr>
            </w:pPr>
            <w:r w:rsidRPr="00237B3D">
              <w:rPr>
                <w:rFonts w:ascii="Arial" w:hAnsi="Arial" w:cs="Arial"/>
                <w:b/>
                <w:bCs/>
                <w:color w:val="000000"/>
                <w:sz w:val="18"/>
                <w:szCs w:val="18"/>
              </w:rPr>
              <w:t>2016</w:t>
            </w:r>
          </w:p>
        </w:tc>
        <w:tc>
          <w:tcPr>
            <w:tcW w:w="1417" w:type="dxa"/>
            <w:tcBorders>
              <w:top w:val="double" w:sz="6" w:space="0" w:color="auto"/>
              <w:left w:val="nil"/>
              <w:bottom w:val="single" w:sz="4" w:space="0" w:color="auto"/>
              <w:right w:val="single" w:sz="4" w:space="0" w:color="auto"/>
            </w:tcBorders>
            <w:shd w:val="clear" w:color="auto" w:fill="auto"/>
            <w:noWrap/>
            <w:vAlign w:val="bottom"/>
            <w:hideMark/>
          </w:tcPr>
          <w:p w14:paraId="23614150" w14:textId="77777777" w:rsidR="00237B3D" w:rsidRPr="00237B3D" w:rsidRDefault="00237B3D" w:rsidP="00237B3D">
            <w:pPr>
              <w:overflowPunct/>
              <w:autoSpaceDE/>
              <w:autoSpaceDN/>
              <w:adjustRightInd/>
              <w:jc w:val="center"/>
              <w:textAlignment w:val="auto"/>
              <w:rPr>
                <w:rFonts w:ascii="Arial" w:hAnsi="Arial" w:cs="Arial"/>
                <w:b/>
                <w:bCs/>
                <w:color w:val="000000"/>
                <w:sz w:val="18"/>
                <w:szCs w:val="18"/>
              </w:rPr>
            </w:pPr>
            <w:r w:rsidRPr="00237B3D">
              <w:rPr>
                <w:rFonts w:ascii="Arial" w:hAnsi="Arial" w:cs="Arial"/>
                <w:b/>
                <w:bCs/>
                <w:color w:val="000000"/>
                <w:sz w:val="18"/>
                <w:szCs w:val="18"/>
              </w:rPr>
              <w:t>2017</w:t>
            </w:r>
          </w:p>
        </w:tc>
        <w:tc>
          <w:tcPr>
            <w:tcW w:w="1418" w:type="dxa"/>
            <w:tcBorders>
              <w:top w:val="double" w:sz="6" w:space="0" w:color="auto"/>
              <w:left w:val="nil"/>
              <w:bottom w:val="single" w:sz="4" w:space="0" w:color="auto"/>
              <w:right w:val="single" w:sz="4" w:space="0" w:color="auto"/>
            </w:tcBorders>
            <w:shd w:val="clear" w:color="auto" w:fill="auto"/>
            <w:noWrap/>
            <w:vAlign w:val="bottom"/>
            <w:hideMark/>
          </w:tcPr>
          <w:p w14:paraId="6513698F" w14:textId="77777777" w:rsidR="00237B3D" w:rsidRPr="00237B3D" w:rsidRDefault="00237B3D" w:rsidP="00237B3D">
            <w:pPr>
              <w:overflowPunct/>
              <w:autoSpaceDE/>
              <w:autoSpaceDN/>
              <w:adjustRightInd/>
              <w:jc w:val="center"/>
              <w:textAlignment w:val="auto"/>
              <w:rPr>
                <w:rFonts w:ascii="Arial" w:hAnsi="Arial" w:cs="Arial"/>
                <w:b/>
                <w:bCs/>
                <w:color w:val="000000"/>
                <w:sz w:val="18"/>
                <w:szCs w:val="18"/>
              </w:rPr>
            </w:pPr>
            <w:r w:rsidRPr="00237B3D">
              <w:rPr>
                <w:rFonts w:ascii="Arial" w:hAnsi="Arial" w:cs="Arial"/>
                <w:b/>
                <w:bCs/>
                <w:color w:val="000000"/>
                <w:sz w:val="18"/>
                <w:szCs w:val="18"/>
              </w:rPr>
              <w:t>2018</w:t>
            </w:r>
          </w:p>
        </w:tc>
        <w:tc>
          <w:tcPr>
            <w:tcW w:w="1559" w:type="dxa"/>
            <w:tcBorders>
              <w:top w:val="double" w:sz="6" w:space="0" w:color="auto"/>
              <w:left w:val="nil"/>
              <w:bottom w:val="single" w:sz="4" w:space="0" w:color="auto"/>
              <w:right w:val="single" w:sz="4" w:space="0" w:color="auto"/>
            </w:tcBorders>
            <w:shd w:val="clear" w:color="auto" w:fill="auto"/>
            <w:noWrap/>
            <w:vAlign w:val="bottom"/>
            <w:hideMark/>
          </w:tcPr>
          <w:p w14:paraId="34C58870" w14:textId="77777777" w:rsidR="00237B3D" w:rsidRPr="00237B3D" w:rsidRDefault="00237B3D" w:rsidP="00237B3D">
            <w:pPr>
              <w:overflowPunct/>
              <w:autoSpaceDE/>
              <w:autoSpaceDN/>
              <w:adjustRightInd/>
              <w:jc w:val="center"/>
              <w:textAlignment w:val="auto"/>
              <w:rPr>
                <w:rFonts w:ascii="Arial" w:hAnsi="Arial" w:cs="Arial"/>
                <w:b/>
                <w:bCs/>
                <w:color w:val="000000"/>
                <w:sz w:val="18"/>
                <w:szCs w:val="18"/>
              </w:rPr>
            </w:pPr>
            <w:r w:rsidRPr="00237B3D">
              <w:rPr>
                <w:rFonts w:ascii="Arial" w:hAnsi="Arial" w:cs="Arial"/>
                <w:b/>
                <w:bCs/>
                <w:color w:val="000000"/>
                <w:sz w:val="18"/>
                <w:szCs w:val="18"/>
              </w:rPr>
              <w:t>2019</w:t>
            </w:r>
          </w:p>
        </w:tc>
        <w:tc>
          <w:tcPr>
            <w:tcW w:w="1476" w:type="dxa"/>
            <w:tcBorders>
              <w:top w:val="double" w:sz="6" w:space="0" w:color="auto"/>
              <w:left w:val="nil"/>
              <w:bottom w:val="single" w:sz="4" w:space="0" w:color="auto"/>
              <w:right w:val="double" w:sz="6" w:space="0" w:color="auto"/>
            </w:tcBorders>
            <w:shd w:val="clear" w:color="auto" w:fill="auto"/>
            <w:noWrap/>
            <w:vAlign w:val="bottom"/>
            <w:hideMark/>
          </w:tcPr>
          <w:p w14:paraId="19100356" w14:textId="77777777" w:rsidR="00237B3D" w:rsidRPr="00237B3D" w:rsidRDefault="00237B3D" w:rsidP="00237B3D">
            <w:pPr>
              <w:overflowPunct/>
              <w:autoSpaceDE/>
              <w:autoSpaceDN/>
              <w:adjustRightInd/>
              <w:jc w:val="center"/>
              <w:textAlignment w:val="auto"/>
              <w:rPr>
                <w:rFonts w:ascii="Arial" w:hAnsi="Arial" w:cs="Arial"/>
                <w:b/>
                <w:bCs/>
                <w:color w:val="000000"/>
                <w:sz w:val="18"/>
                <w:szCs w:val="18"/>
              </w:rPr>
            </w:pPr>
            <w:r w:rsidRPr="00237B3D">
              <w:rPr>
                <w:rFonts w:ascii="Arial" w:hAnsi="Arial" w:cs="Arial"/>
                <w:b/>
                <w:bCs/>
                <w:color w:val="000000"/>
                <w:sz w:val="18"/>
                <w:szCs w:val="18"/>
              </w:rPr>
              <w:t>2020</w:t>
            </w:r>
          </w:p>
        </w:tc>
      </w:tr>
      <w:tr w:rsidR="00D41674" w:rsidRPr="00237B3D" w14:paraId="191C1EBD"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7E83C65D"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Grundgehalt</w:t>
            </w:r>
          </w:p>
        </w:tc>
        <w:tc>
          <w:tcPr>
            <w:tcW w:w="1418" w:type="dxa"/>
            <w:tcBorders>
              <w:top w:val="nil"/>
              <w:left w:val="nil"/>
              <w:bottom w:val="nil"/>
              <w:right w:val="single" w:sz="4" w:space="0" w:color="auto"/>
            </w:tcBorders>
            <w:shd w:val="clear" w:color="auto" w:fill="auto"/>
            <w:noWrap/>
            <w:vAlign w:val="bottom"/>
            <w:hideMark/>
          </w:tcPr>
          <w:p w14:paraId="205DD4C6"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21.907,19 € </w:t>
            </w:r>
          </w:p>
        </w:tc>
        <w:tc>
          <w:tcPr>
            <w:tcW w:w="1417" w:type="dxa"/>
            <w:tcBorders>
              <w:top w:val="nil"/>
              <w:left w:val="nil"/>
              <w:bottom w:val="nil"/>
              <w:right w:val="single" w:sz="4" w:space="0" w:color="auto"/>
            </w:tcBorders>
            <w:shd w:val="clear" w:color="auto" w:fill="auto"/>
            <w:noWrap/>
            <w:vAlign w:val="bottom"/>
            <w:hideMark/>
          </w:tcPr>
          <w:p w14:paraId="4AB8747D"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22.782,48 € </w:t>
            </w:r>
          </w:p>
        </w:tc>
        <w:tc>
          <w:tcPr>
            <w:tcW w:w="1418" w:type="dxa"/>
            <w:tcBorders>
              <w:top w:val="nil"/>
              <w:left w:val="nil"/>
              <w:bottom w:val="nil"/>
              <w:right w:val="single" w:sz="4" w:space="0" w:color="auto"/>
            </w:tcBorders>
            <w:shd w:val="clear" w:color="auto" w:fill="auto"/>
            <w:noWrap/>
            <w:vAlign w:val="bottom"/>
            <w:hideMark/>
          </w:tcPr>
          <w:p w14:paraId="2159C0F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23.742,53 € </w:t>
            </w:r>
          </w:p>
        </w:tc>
        <w:tc>
          <w:tcPr>
            <w:tcW w:w="1559" w:type="dxa"/>
            <w:tcBorders>
              <w:top w:val="nil"/>
              <w:left w:val="nil"/>
              <w:bottom w:val="nil"/>
              <w:right w:val="single" w:sz="4" w:space="0" w:color="auto"/>
            </w:tcBorders>
            <w:shd w:val="clear" w:color="auto" w:fill="auto"/>
            <w:noWrap/>
            <w:vAlign w:val="bottom"/>
            <w:hideMark/>
          </w:tcPr>
          <w:p w14:paraId="0B4CB09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24.828,99 € </w:t>
            </w:r>
          </w:p>
        </w:tc>
        <w:tc>
          <w:tcPr>
            <w:tcW w:w="1476" w:type="dxa"/>
            <w:tcBorders>
              <w:top w:val="nil"/>
              <w:left w:val="nil"/>
              <w:bottom w:val="nil"/>
              <w:right w:val="double" w:sz="6" w:space="0" w:color="auto"/>
            </w:tcBorders>
            <w:shd w:val="clear" w:color="auto" w:fill="auto"/>
            <w:noWrap/>
            <w:vAlign w:val="bottom"/>
            <w:hideMark/>
          </w:tcPr>
          <w:p w14:paraId="181FDADD"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26.076,46 € </w:t>
            </w:r>
          </w:p>
        </w:tc>
      </w:tr>
      <w:tr w:rsidR="00D41674" w:rsidRPr="00237B3D" w14:paraId="38F0D5B8"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66D3F2F4"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Familienzuschlag</w:t>
            </w:r>
          </w:p>
        </w:tc>
        <w:tc>
          <w:tcPr>
            <w:tcW w:w="1418" w:type="dxa"/>
            <w:tcBorders>
              <w:top w:val="nil"/>
              <w:left w:val="nil"/>
              <w:bottom w:val="nil"/>
              <w:right w:val="single" w:sz="4" w:space="0" w:color="auto"/>
            </w:tcBorders>
            <w:shd w:val="clear" w:color="auto" w:fill="auto"/>
            <w:noWrap/>
            <w:vAlign w:val="bottom"/>
            <w:hideMark/>
          </w:tcPr>
          <w:p w14:paraId="6C1C609E"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1.390,65 € </w:t>
            </w:r>
          </w:p>
        </w:tc>
        <w:tc>
          <w:tcPr>
            <w:tcW w:w="1417" w:type="dxa"/>
            <w:tcBorders>
              <w:top w:val="nil"/>
              <w:left w:val="nil"/>
              <w:bottom w:val="nil"/>
              <w:right w:val="single" w:sz="4" w:space="0" w:color="auto"/>
            </w:tcBorders>
            <w:shd w:val="clear" w:color="auto" w:fill="auto"/>
            <w:noWrap/>
            <w:vAlign w:val="bottom"/>
            <w:hideMark/>
          </w:tcPr>
          <w:p w14:paraId="17B36F6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1.428,42 € </w:t>
            </w:r>
          </w:p>
        </w:tc>
        <w:tc>
          <w:tcPr>
            <w:tcW w:w="1418" w:type="dxa"/>
            <w:tcBorders>
              <w:top w:val="nil"/>
              <w:left w:val="nil"/>
              <w:bottom w:val="nil"/>
              <w:right w:val="single" w:sz="4" w:space="0" w:color="auto"/>
            </w:tcBorders>
            <w:shd w:val="clear" w:color="auto" w:fill="auto"/>
            <w:noWrap/>
            <w:vAlign w:val="bottom"/>
            <w:hideMark/>
          </w:tcPr>
          <w:p w14:paraId="59C5B2BC"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1.597,75 € </w:t>
            </w:r>
          </w:p>
        </w:tc>
        <w:tc>
          <w:tcPr>
            <w:tcW w:w="1559" w:type="dxa"/>
            <w:tcBorders>
              <w:top w:val="nil"/>
              <w:left w:val="nil"/>
              <w:bottom w:val="nil"/>
              <w:right w:val="single" w:sz="4" w:space="0" w:color="auto"/>
            </w:tcBorders>
            <w:shd w:val="clear" w:color="auto" w:fill="auto"/>
            <w:noWrap/>
            <w:vAlign w:val="bottom"/>
            <w:hideMark/>
          </w:tcPr>
          <w:p w14:paraId="1066BAD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1.544,52 € </w:t>
            </w:r>
          </w:p>
        </w:tc>
        <w:tc>
          <w:tcPr>
            <w:tcW w:w="1476" w:type="dxa"/>
            <w:tcBorders>
              <w:top w:val="nil"/>
              <w:left w:val="nil"/>
              <w:bottom w:val="nil"/>
              <w:right w:val="double" w:sz="6" w:space="0" w:color="auto"/>
            </w:tcBorders>
            <w:shd w:val="clear" w:color="auto" w:fill="auto"/>
            <w:noWrap/>
            <w:vAlign w:val="bottom"/>
            <w:hideMark/>
          </w:tcPr>
          <w:p w14:paraId="501B0DE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1.622,09 € </w:t>
            </w:r>
          </w:p>
        </w:tc>
      </w:tr>
      <w:tr w:rsidR="00D41674" w:rsidRPr="00237B3D" w14:paraId="2AD1CE1F"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0A43D148"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Erhöhung für Kinder</w:t>
            </w:r>
          </w:p>
        </w:tc>
        <w:tc>
          <w:tcPr>
            <w:tcW w:w="1418" w:type="dxa"/>
            <w:tcBorders>
              <w:top w:val="nil"/>
              <w:left w:val="nil"/>
              <w:bottom w:val="nil"/>
              <w:right w:val="single" w:sz="4" w:space="0" w:color="auto"/>
            </w:tcBorders>
            <w:shd w:val="clear" w:color="auto" w:fill="auto"/>
            <w:noWrap/>
            <w:vAlign w:val="bottom"/>
            <w:hideMark/>
          </w:tcPr>
          <w:p w14:paraId="66C07E09"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2.498,40 € </w:t>
            </w:r>
          </w:p>
        </w:tc>
        <w:tc>
          <w:tcPr>
            <w:tcW w:w="1417" w:type="dxa"/>
            <w:tcBorders>
              <w:top w:val="nil"/>
              <w:left w:val="nil"/>
              <w:bottom w:val="nil"/>
              <w:right w:val="single" w:sz="4" w:space="0" w:color="auto"/>
            </w:tcBorders>
            <w:shd w:val="clear" w:color="auto" w:fill="auto"/>
            <w:noWrap/>
            <w:vAlign w:val="bottom"/>
            <w:hideMark/>
          </w:tcPr>
          <w:p w14:paraId="01B0190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2.566,22 € </w:t>
            </w:r>
          </w:p>
        </w:tc>
        <w:tc>
          <w:tcPr>
            <w:tcW w:w="1418" w:type="dxa"/>
            <w:tcBorders>
              <w:top w:val="nil"/>
              <w:left w:val="nil"/>
              <w:bottom w:val="nil"/>
              <w:right w:val="single" w:sz="4" w:space="0" w:color="auto"/>
            </w:tcBorders>
            <w:shd w:val="clear" w:color="auto" w:fill="auto"/>
            <w:noWrap/>
            <w:vAlign w:val="bottom"/>
            <w:hideMark/>
          </w:tcPr>
          <w:p w14:paraId="5BBD01C0"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2.653,30 € </w:t>
            </w:r>
          </w:p>
        </w:tc>
        <w:tc>
          <w:tcPr>
            <w:tcW w:w="1559" w:type="dxa"/>
            <w:tcBorders>
              <w:top w:val="nil"/>
              <w:left w:val="nil"/>
              <w:bottom w:val="nil"/>
              <w:right w:val="single" w:sz="4" w:space="0" w:color="auto"/>
            </w:tcBorders>
            <w:shd w:val="clear" w:color="auto" w:fill="auto"/>
            <w:noWrap/>
            <w:vAlign w:val="bottom"/>
            <w:hideMark/>
          </w:tcPr>
          <w:p w14:paraId="7CF9054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2.774,76 € </w:t>
            </w:r>
          </w:p>
        </w:tc>
        <w:tc>
          <w:tcPr>
            <w:tcW w:w="1476" w:type="dxa"/>
            <w:tcBorders>
              <w:top w:val="nil"/>
              <w:left w:val="nil"/>
              <w:bottom w:val="nil"/>
              <w:right w:val="double" w:sz="6" w:space="0" w:color="auto"/>
            </w:tcBorders>
            <w:shd w:val="clear" w:color="auto" w:fill="auto"/>
            <w:noWrap/>
            <w:vAlign w:val="bottom"/>
            <w:hideMark/>
          </w:tcPr>
          <w:p w14:paraId="784C8686"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2.914,12 € </w:t>
            </w:r>
          </w:p>
        </w:tc>
      </w:tr>
      <w:tr w:rsidR="00D41674" w:rsidRPr="00237B3D" w14:paraId="318CFA91"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4DDD5673"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Erhöhungsbetrag A 2 bis A 5</w:t>
            </w:r>
          </w:p>
        </w:tc>
        <w:tc>
          <w:tcPr>
            <w:tcW w:w="1418" w:type="dxa"/>
            <w:tcBorders>
              <w:top w:val="nil"/>
              <w:left w:val="nil"/>
              <w:bottom w:val="nil"/>
              <w:right w:val="single" w:sz="4" w:space="0" w:color="auto"/>
            </w:tcBorders>
            <w:shd w:val="clear" w:color="auto" w:fill="auto"/>
            <w:noWrap/>
            <w:vAlign w:val="bottom"/>
            <w:hideMark/>
          </w:tcPr>
          <w:p w14:paraId="3F4A55CA"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310,27 € </w:t>
            </w:r>
          </w:p>
        </w:tc>
        <w:tc>
          <w:tcPr>
            <w:tcW w:w="1417" w:type="dxa"/>
            <w:tcBorders>
              <w:top w:val="nil"/>
              <w:left w:val="nil"/>
              <w:bottom w:val="nil"/>
              <w:right w:val="single" w:sz="4" w:space="0" w:color="auto"/>
            </w:tcBorders>
            <w:shd w:val="clear" w:color="auto" w:fill="auto"/>
            <w:noWrap/>
            <w:vAlign w:val="bottom"/>
            <w:hideMark/>
          </w:tcPr>
          <w:p w14:paraId="21CA025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318,69 € </w:t>
            </w:r>
          </w:p>
        </w:tc>
        <w:tc>
          <w:tcPr>
            <w:tcW w:w="1418" w:type="dxa"/>
            <w:tcBorders>
              <w:top w:val="nil"/>
              <w:left w:val="nil"/>
              <w:bottom w:val="nil"/>
              <w:right w:val="single" w:sz="4" w:space="0" w:color="auto"/>
            </w:tcBorders>
            <w:shd w:val="clear" w:color="auto" w:fill="auto"/>
            <w:noWrap/>
            <w:vAlign w:val="bottom"/>
            <w:hideMark/>
          </w:tcPr>
          <w:p w14:paraId="5DC7D8C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329,54 € </w:t>
            </w:r>
          </w:p>
        </w:tc>
        <w:tc>
          <w:tcPr>
            <w:tcW w:w="1559" w:type="dxa"/>
            <w:tcBorders>
              <w:top w:val="nil"/>
              <w:left w:val="nil"/>
              <w:bottom w:val="nil"/>
              <w:right w:val="single" w:sz="4" w:space="0" w:color="auto"/>
            </w:tcBorders>
            <w:shd w:val="clear" w:color="auto" w:fill="auto"/>
            <w:noWrap/>
            <w:vAlign w:val="bottom"/>
            <w:hideMark/>
          </w:tcPr>
          <w:p w14:paraId="56D36391"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344,64 € </w:t>
            </w:r>
          </w:p>
        </w:tc>
        <w:tc>
          <w:tcPr>
            <w:tcW w:w="1476" w:type="dxa"/>
            <w:tcBorders>
              <w:top w:val="nil"/>
              <w:left w:val="nil"/>
              <w:bottom w:val="nil"/>
              <w:right w:val="double" w:sz="6" w:space="0" w:color="auto"/>
            </w:tcBorders>
            <w:shd w:val="clear" w:color="auto" w:fill="auto"/>
            <w:noWrap/>
            <w:vAlign w:val="bottom"/>
            <w:hideMark/>
          </w:tcPr>
          <w:p w14:paraId="069F8A65"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361,99 € </w:t>
            </w:r>
          </w:p>
        </w:tc>
      </w:tr>
      <w:tr w:rsidR="00D41674" w:rsidRPr="00237B3D" w14:paraId="458B6B79"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08755729"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Sonderzahlung § 5 SZG</w:t>
            </w:r>
          </w:p>
        </w:tc>
        <w:tc>
          <w:tcPr>
            <w:tcW w:w="1418" w:type="dxa"/>
            <w:tcBorders>
              <w:top w:val="nil"/>
              <w:left w:val="nil"/>
              <w:bottom w:val="nil"/>
              <w:right w:val="single" w:sz="4" w:space="0" w:color="auto"/>
            </w:tcBorders>
            <w:shd w:val="clear" w:color="auto" w:fill="auto"/>
            <w:noWrap/>
            <w:vAlign w:val="bottom"/>
            <w:hideMark/>
          </w:tcPr>
          <w:p w14:paraId="189D622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640,00 € </w:t>
            </w:r>
          </w:p>
        </w:tc>
        <w:tc>
          <w:tcPr>
            <w:tcW w:w="1417" w:type="dxa"/>
            <w:tcBorders>
              <w:top w:val="nil"/>
              <w:left w:val="nil"/>
              <w:bottom w:val="nil"/>
              <w:right w:val="single" w:sz="4" w:space="0" w:color="auto"/>
            </w:tcBorders>
            <w:shd w:val="clear" w:color="auto" w:fill="auto"/>
            <w:noWrap/>
            <w:vAlign w:val="bottom"/>
            <w:hideMark/>
          </w:tcPr>
          <w:p w14:paraId="68CAB2ED"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1.000,00 € </w:t>
            </w:r>
          </w:p>
        </w:tc>
        <w:tc>
          <w:tcPr>
            <w:tcW w:w="1418" w:type="dxa"/>
            <w:tcBorders>
              <w:top w:val="nil"/>
              <w:left w:val="nil"/>
              <w:bottom w:val="nil"/>
              <w:right w:val="single" w:sz="4" w:space="0" w:color="auto"/>
            </w:tcBorders>
            <w:shd w:val="clear" w:color="auto" w:fill="auto"/>
            <w:noWrap/>
            <w:vAlign w:val="bottom"/>
            <w:hideMark/>
          </w:tcPr>
          <w:p w14:paraId="433F229C"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1.550,00 € </w:t>
            </w:r>
          </w:p>
        </w:tc>
        <w:tc>
          <w:tcPr>
            <w:tcW w:w="1559" w:type="dxa"/>
            <w:tcBorders>
              <w:top w:val="nil"/>
              <w:left w:val="nil"/>
              <w:bottom w:val="nil"/>
              <w:right w:val="single" w:sz="4" w:space="0" w:color="auto"/>
            </w:tcBorders>
            <w:shd w:val="clear" w:color="auto" w:fill="auto"/>
            <w:noWrap/>
            <w:vAlign w:val="bottom"/>
            <w:hideMark/>
          </w:tcPr>
          <w:p w14:paraId="681FA5D1"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1.550,00 € </w:t>
            </w:r>
          </w:p>
        </w:tc>
        <w:tc>
          <w:tcPr>
            <w:tcW w:w="1476" w:type="dxa"/>
            <w:tcBorders>
              <w:top w:val="nil"/>
              <w:left w:val="nil"/>
              <w:bottom w:val="nil"/>
              <w:right w:val="double" w:sz="6" w:space="0" w:color="auto"/>
            </w:tcBorders>
            <w:shd w:val="clear" w:color="auto" w:fill="auto"/>
            <w:noWrap/>
            <w:vAlign w:val="bottom"/>
            <w:hideMark/>
          </w:tcPr>
          <w:p w14:paraId="2129396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1.550,00 € </w:t>
            </w:r>
          </w:p>
        </w:tc>
      </w:tr>
      <w:tr w:rsidR="00D41674" w:rsidRPr="00237B3D" w14:paraId="0180DC8F"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10A6D900"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SoZa für Kinder § 6 SZG</w:t>
            </w:r>
          </w:p>
        </w:tc>
        <w:tc>
          <w:tcPr>
            <w:tcW w:w="1418" w:type="dxa"/>
            <w:tcBorders>
              <w:top w:val="nil"/>
              <w:left w:val="nil"/>
              <w:bottom w:val="nil"/>
              <w:right w:val="single" w:sz="4" w:space="0" w:color="auto"/>
            </w:tcBorders>
            <w:shd w:val="clear" w:color="auto" w:fill="auto"/>
            <w:noWrap/>
            <w:vAlign w:val="bottom"/>
            <w:hideMark/>
          </w:tcPr>
          <w:p w14:paraId="6BDF98E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51,12 € </w:t>
            </w:r>
          </w:p>
        </w:tc>
        <w:tc>
          <w:tcPr>
            <w:tcW w:w="1417" w:type="dxa"/>
            <w:tcBorders>
              <w:top w:val="nil"/>
              <w:left w:val="nil"/>
              <w:bottom w:val="nil"/>
              <w:right w:val="single" w:sz="4" w:space="0" w:color="auto"/>
            </w:tcBorders>
            <w:shd w:val="clear" w:color="auto" w:fill="auto"/>
            <w:noWrap/>
            <w:vAlign w:val="bottom"/>
            <w:hideMark/>
          </w:tcPr>
          <w:p w14:paraId="7BF905A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51,12 € </w:t>
            </w:r>
          </w:p>
        </w:tc>
        <w:tc>
          <w:tcPr>
            <w:tcW w:w="1418" w:type="dxa"/>
            <w:tcBorders>
              <w:top w:val="nil"/>
              <w:left w:val="nil"/>
              <w:bottom w:val="nil"/>
              <w:right w:val="single" w:sz="4" w:space="0" w:color="auto"/>
            </w:tcBorders>
            <w:shd w:val="clear" w:color="auto" w:fill="auto"/>
            <w:noWrap/>
            <w:vAlign w:val="bottom"/>
            <w:hideMark/>
          </w:tcPr>
          <w:p w14:paraId="1B5B5CCC"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51,12 € </w:t>
            </w:r>
          </w:p>
        </w:tc>
        <w:tc>
          <w:tcPr>
            <w:tcW w:w="1559" w:type="dxa"/>
            <w:tcBorders>
              <w:top w:val="nil"/>
              <w:left w:val="nil"/>
              <w:bottom w:val="nil"/>
              <w:right w:val="single" w:sz="4" w:space="0" w:color="auto"/>
            </w:tcBorders>
            <w:shd w:val="clear" w:color="auto" w:fill="auto"/>
            <w:noWrap/>
            <w:vAlign w:val="bottom"/>
            <w:hideMark/>
          </w:tcPr>
          <w:p w14:paraId="1B03B256"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51,12 € </w:t>
            </w:r>
          </w:p>
        </w:tc>
        <w:tc>
          <w:tcPr>
            <w:tcW w:w="1476" w:type="dxa"/>
            <w:tcBorders>
              <w:top w:val="nil"/>
              <w:left w:val="nil"/>
              <w:bottom w:val="nil"/>
              <w:right w:val="double" w:sz="6" w:space="0" w:color="auto"/>
            </w:tcBorders>
            <w:shd w:val="clear" w:color="auto" w:fill="auto"/>
            <w:noWrap/>
            <w:vAlign w:val="bottom"/>
            <w:hideMark/>
          </w:tcPr>
          <w:p w14:paraId="77DD57DE"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100,00 € </w:t>
            </w:r>
          </w:p>
        </w:tc>
      </w:tr>
      <w:tr w:rsidR="00D41674" w:rsidRPr="00237B3D" w14:paraId="26B8EF6F" w14:textId="77777777" w:rsidTr="00D41674">
        <w:trPr>
          <w:trHeight w:val="288"/>
        </w:trPr>
        <w:tc>
          <w:tcPr>
            <w:tcW w:w="2812" w:type="dxa"/>
            <w:tcBorders>
              <w:top w:val="nil"/>
              <w:left w:val="double" w:sz="6" w:space="0" w:color="auto"/>
              <w:bottom w:val="single" w:sz="4" w:space="0" w:color="auto"/>
              <w:right w:val="single" w:sz="4" w:space="0" w:color="auto"/>
            </w:tcBorders>
            <w:shd w:val="clear" w:color="000000" w:fill="D9D9D9"/>
            <w:noWrap/>
            <w:vAlign w:val="bottom"/>
            <w:hideMark/>
          </w:tcPr>
          <w:p w14:paraId="479A05A2"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Hauptstadtzulage</w:t>
            </w:r>
          </w:p>
        </w:tc>
        <w:tc>
          <w:tcPr>
            <w:tcW w:w="1418" w:type="dxa"/>
            <w:tcBorders>
              <w:top w:val="nil"/>
              <w:left w:val="nil"/>
              <w:bottom w:val="single" w:sz="4" w:space="0" w:color="auto"/>
              <w:right w:val="single" w:sz="4" w:space="0" w:color="auto"/>
            </w:tcBorders>
            <w:shd w:val="clear" w:color="auto" w:fill="auto"/>
            <w:noWrap/>
            <w:vAlign w:val="bottom"/>
            <w:hideMark/>
          </w:tcPr>
          <w:p w14:paraId="7AD6EDB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6A974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3ADE00"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63AA5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w:t>
            </w:r>
          </w:p>
        </w:tc>
        <w:tc>
          <w:tcPr>
            <w:tcW w:w="1476" w:type="dxa"/>
            <w:tcBorders>
              <w:top w:val="nil"/>
              <w:left w:val="nil"/>
              <w:bottom w:val="single" w:sz="4" w:space="0" w:color="auto"/>
              <w:right w:val="double" w:sz="6" w:space="0" w:color="auto"/>
            </w:tcBorders>
            <w:shd w:val="clear" w:color="auto" w:fill="auto"/>
            <w:noWrap/>
            <w:vAlign w:val="bottom"/>
            <w:hideMark/>
          </w:tcPr>
          <w:p w14:paraId="018A039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300,00 € </w:t>
            </w:r>
          </w:p>
        </w:tc>
      </w:tr>
      <w:tr w:rsidR="00D41674" w:rsidRPr="00237B3D" w14:paraId="56D1FF01"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1FC6298D"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Jahresbruttogesamtbezüge</w:t>
            </w:r>
          </w:p>
        </w:tc>
        <w:tc>
          <w:tcPr>
            <w:tcW w:w="1418" w:type="dxa"/>
            <w:tcBorders>
              <w:top w:val="nil"/>
              <w:left w:val="nil"/>
              <w:bottom w:val="nil"/>
              <w:right w:val="single" w:sz="4" w:space="0" w:color="auto"/>
            </w:tcBorders>
            <w:shd w:val="clear" w:color="auto" w:fill="auto"/>
            <w:noWrap/>
            <w:vAlign w:val="bottom"/>
            <w:hideMark/>
          </w:tcPr>
          <w:p w14:paraId="1034DC5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26.797,63 € </w:t>
            </w:r>
          </w:p>
        </w:tc>
        <w:tc>
          <w:tcPr>
            <w:tcW w:w="1417" w:type="dxa"/>
            <w:tcBorders>
              <w:top w:val="nil"/>
              <w:left w:val="nil"/>
              <w:bottom w:val="nil"/>
              <w:right w:val="single" w:sz="4" w:space="0" w:color="auto"/>
            </w:tcBorders>
            <w:shd w:val="clear" w:color="auto" w:fill="auto"/>
            <w:noWrap/>
            <w:vAlign w:val="bottom"/>
            <w:hideMark/>
          </w:tcPr>
          <w:p w14:paraId="56F64DE3"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28.146,93 € </w:t>
            </w:r>
          </w:p>
        </w:tc>
        <w:tc>
          <w:tcPr>
            <w:tcW w:w="1418" w:type="dxa"/>
            <w:tcBorders>
              <w:top w:val="nil"/>
              <w:left w:val="nil"/>
              <w:bottom w:val="nil"/>
              <w:right w:val="single" w:sz="4" w:space="0" w:color="auto"/>
            </w:tcBorders>
            <w:shd w:val="clear" w:color="auto" w:fill="auto"/>
            <w:noWrap/>
            <w:vAlign w:val="bottom"/>
            <w:hideMark/>
          </w:tcPr>
          <w:p w14:paraId="4216CFD9"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29.924,24 € </w:t>
            </w:r>
          </w:p>
        </w:tc>
        <w:tc>
          <w:tcPr>
            <w:tcW w:w="1559" w:type="dxa"/>
            <w:tcBorders>
              <w:top w:val="nil"/>
              <w:left w:val="nil"/>
              <w:bottom w:val="nil"/>
              <w:right w:val="single" w:sz="4" w:space="0" w:color="auto"/>
            </w:tcBorders>
            <w:shd w:val="clear" w:color="auto" w:fill="auto"/>
            <w:noWrap/>
            <w:vAlign w:val="bottom"/>
            <w:hideMark/>
          </w:tcPr>
          <w:p w14:paraId="003099D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31.094,03 € </w:t>
            </w:r>
          </w:p>
        </w:tc>
        <w:tc>
          <w:tcPr>
            <w:tcW w:w="1476" w:type="dxa"/>
            <w:tcBorders>
              <w:top w:val="nil"/>
              <w:left w:val="nil"/>
              <w:bottom w:val="nil"/>
              <w:right w:val="double" w:sz="6" w:space="0" w:color="auto"/>
            </w:tcBorders>
            <w:shd w:val="clear" w:color="auto" w:fill="auto"/>
            <w:noWrap/>
            <w:vAlign w:val="bottom"/>
            <w:hideMark/>
          </w:tcPr>
          <w:p w14:paraId="638A970F"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32.924,66 € </w:t>
            </w:r>
          </w:p>
        </w:tc>
      </w:tr>
      <w:tr w:rsidR="00D41674" w:rsidRPr="00237B3D" w14:paraId="5C6A96EA"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5130A872"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 Lohnsteuer</w:t>
            </w:r>
          </w:p>
        </w:tc>
        <w:tc>
          <w:tcPr>
            <w:tcW w:w="1418" w:type="dxa"/>
            <w:tcBorders>
              <w:top w:val="nil"/>
              <w:left w:val="nil"/>
              <w:bottom w:val="nil"/>
              <w:right w:val="single" w:sz="4" w:space="0" w:color="auto"/>
            </w:tcBorders>
            <w:shd w:val="clear" w:color="auto" w:fill="auto"/>
            <w:noWrap/>
            <w:vAlign w:val="bottom"/>
            <w:hideMark/>
          </w:tcPr>
          <w:p w14:paraId="52BB0A82" w14:textId="77777777" w:rsidR="00237B3D" w:rsidRPr="00237B3D" w:rsidRDefault="00237B3D" w:rsidP="00462331">
            <w:pPr>
              <w:overflowPunct/>
              <w:autoSpaceDE/>
              <w:autoSpaceDN/>
              <w:adjustRightInd/>
              <w:jc w:val="right"/>
              <w:textAlignment w:val="auto"/>
              <w:rPr>
                <w:rFonts w:ascii="Arial" w:hAnsi="Arial" w:cs="Arial"/>
                <w:sz w:val="18"/>
                <w:szCs w:val="18"/>
              </w:rPr>
            </w:pPr>
            <w:r w:rsidRPr="00237B3D">
              <w:rPr>
                <w:rFonts w:ascii="Arial" w:hAnsi="Arial" w:cs="Arial"/>
                <w:sz w:val="18"/>
                <w:szCs w:val="18"/>
              </w:rPr>
              <w:t xml:space="preserve">-        606,00 € </w:t>
            </w:r>
          </w:p>
        </w:tc>
        <w:tc>
          <w:tcPr>
            <w:tcW w:w="1417" w:type="dxa"/>
            <w:tcBorders>
              <w:top w:val="nil"/>
              <w:left w:val="nil"/>
              <w:bottom w:val="nil"/>
              <w:right w:val="single" w:sz="4" w:space="0" w:color="auto"/>
            </w:tcBorders>
            <w:shd w:val="clear" w:color="auto" w:fill="auto"/>
            <w:noWrap/>
            <w:vAlign w:val="bottom"/>
            <w:hideMark/>
          </w:tcPr>
          <w:p w14:paraId="6C8F090C" w14:textId="77777777" w:rsidR="00237B3D" w:rsidRPr="00237B3D" w:rsidRDefault="00237B3D" w:rsidP="00462331">
            <w:pPr>
              <w:overflowPunct/>
              <w:autoSpaceDE/>
              <w:autoSpaceDN/>
              <w:adjustRightInd/>
              <w:jc w:val="right"/>
              <w:textAlignment w:val="auto"/>
              <w:rPr>
                <w:rFonts w:ascii="Arial" w:hAnsi="Arial" w:cs="Arial"/>
                <w:sz w:val="18"/>
                <w:szCs w:val="18"/>
              </w:rPr>
            </w:pPr>
            <w:r w:rsidRPr="00237B3D">
              <w:rPr>
                <w:rFonts w:ascii="Arial" w:hAnsi="Arial" w:cs="Arial"/>
                <w:sz w:val="18"/>
                <w:szCs w:val="18"/>
              </w:rPr>
              <w:t xml:space="preserve">-        722,00 € </w:t>
            </w:r>
          </w:p>
        </w:tc>
        <w:tc>
          <w:tcPr>
            <w:tcW w:w="1418" w:type="dxa"/>
            <w:tcBorders>
              <w:top w:val="nil"/>
              <w:left w:val="nil"/>
              <w:bottom w:val="nil"/>
              <w:right w:val="single" w:sz="4" w:space="0" w:color="auto"/>
            </w:tcBorders>
            <w:shd w:val="clear" w:color="auto" w:fill="auto"/>
            <w:noWrap/>
            <w:vAlign w:val="bottom"/>
            <w:hideMark/>
          </w:tcPr>
          <w:p w14:paraId="465AF9CF"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966,00 € </w:t>
            </w:r>
          </w:p>
        </w:tc>
        <w:tc>
          <w:tcPr>
            <w:tcW w:w="1559" w:type="dxa"/>
            <w:tcBorders>
              <w:top w:val="nil"/>
              <w:left w:val="nil"/>
              <w:bottom w:val="nil"/>
              <w:right w:val="single" w:sz="4" w:space="0" w:color="auto"/>
            </w:tcBorders>
            <w:shd w:val="clear" w:color="auto" w:fill="auto"/>
            <w:noWrap/>
            <w:vAlign w:val="bottom"/>
            <w:hideMark/>
          </w:tcPr>
          <w:p w14:paraId="2B2E5C2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1.104,00 € </w:t>
            </w:r>
          </w:p>
        </w:tc>
        <w:tc>
          <w:tcPr>
            <w:tcW w:w="1476" w:type="dxa"/>
            <w:tcBorders>
              <w:top w:val="nil"/>
              <w:left w:val="nil"/>
              <w:bottom w:val="nil"/>
              <w:right w:val="double" w:sz="6" w:space="0" w:color="auto"/>
            </w:tcBorders>
            <w:shd w:val="clear" w:color="auto" w:fill="auto"/>
            <w:noWrap/>
            <w:vAlign w:val="bottom"/>
            <w:hideMark/>
          </w:tcPr>
          <w:p w14:paraId="2C914757"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1.356,00 € </w:t>
            </w:r>
          </w:p>
        </w:tc>
      </w:tr>
      <w:tr w:rsidR="00D41674" w:rsidRPr="00237B3D" w14:paraId="3D87B7E9" w14:textId="77777777" w:rsidTr="00D41674">
        <w:trPr>
          <w:trHeight w:val="288"/>
        </w:trPr>
        <w:tc>
          <w:tcPr>
            <w:tcW w:w="2812" w:type="dxa"/>
            <w:tcBorders>
              <w:top w:val="nil"/>
              <w:left w:val="double" w:sz="6" w:space="0" w:color="auto"/>
              <w:bottom w:val="nil"/>
              <w:right w:val="single" w:sz="4" w:space="0" w:color="auto"/>
            </w:tcBorders>
            <w:shd w:val="clear" w:color="000000" w:fill="D9D9D9"/>
            <w:noWrap/>
            <w:vAlign w:val="bottom"/>
            <w:hideMark/>
          </w:tcPr>
          <w:p w14:paraId="002C85B3"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 Kosten PKV/PFV</w:t>
            </w:r>
          </w:p>
        </w:tc>
        <w:tc>
          <w:tcPr>
            <w:tcW w:w="1418" w:type="dxa"/>
            <w:tcBorders>
              <w:top w:val="nil"/>
              <w:left w:val="nil"/>
              <w:bottom w:val="nil"/>
              <w:right w:val="single" w:sz="4" w:space="0" w:color="auto"/>
            </w:tcBorders>
            <w:shd w:val="clear" w:color="auto" w:fill="auto"/>
            <w:noWrap/>
            <w:vAlign w:val="bottom"/>
            <w:hideMark/>
          </w:tcPr>
          <w:p w14:paraId="4711CCB7" w14:textId="77777777" w:rsidR="00237B3D" w:rsidRPr="00237B3D" w:rsidRDefault="00237B3D" w:rsidP="00462331">
            <w:pPr>
              <w:overflowPunct/>
              <w:autoSpaceDE/>
              <w:autoSpaceDN/>
              <w:adjustRightInd/>
              <w:jc w:val="right"/>
              <w:textAlignment w:val="auto"/>
              <w:rPr>
                <w:rFonts w:ascii="Arial" w:hAnsi="Arial" w:cs="Arial"/>
                <w:sz w:val="18"/>
                <w:szCs w:val="18"/>
              </w:rPr>
            </w:pPr>
            <w:r w:rsidRPr="00237B3D">
              <w:rPr>
                <w:rFonts w:ascii="Arial" w:hAnsi="Arial" w:cs="Arial"/>
                <w:sz w:val="18"/>
                <w:szCs w:val="18"/>
              </w:rPr>
              <w:t xml:space="preserve">-    5.764,56 € </w:t>
            </w:r>
          </w:p>
        </w:tc>
        <w:tc>
          <w:tcPr>
            <w:tcW w:w="1417" w:type="dxa"/>
            <w:tcBorders>
              <w:top w:val="nil"/>
              <w:left w:val="nil"/>
              <w:bottom w:val="nil"/>
              <w:right w:val="single" w:sz="4" w:space="0" w:color="auto"/>
            </w:tcBorders>
            <w:shd w:val="clear" w:color="auto" w:fill="auto"/>
            <w:noWrap/>
            <w:vAlign w:val="bottom"/>
            <w:hideMark/>
          </w:tcPr>
          <w:p w14:paraId="10E7542A" w14:textId="77777777" w:rsidR="00237B3D" w:rsidRPr="00237B3D" w:rsidRDefault="00237B3D" w:rsidP="00462331">
            <w:pPr>
              <w:overflowPunct/>
              <w:autoSpaceDE/>
              <w:autoSpaceDN/>
              <w:adjustRightInd/>
              <w:jc w:val="right"/>
              <w:textAlignment w:val="auto"/>
              <w:rPr>
                <w:rFonts w:ascii="Arial" w:hAnsi="Arial" w:cs="Arial"/>
                <w:sz w:val="18"/>
                <w:szCs w:val="18"/>
              </w:rPr>
            </w:pPr>
            <w:r w:rsidRPr="00237B3D">
              <w:rPr>
                <w:rFonts w:ascii="Arial" w:hAnsi="Arial" w:cs="Arial"/>
                <w:sz w:val="18"/>
                <w:szCs w:val="18"/>
              </w:rPr>
              <w:t xml:space="preserve">-     6.217,68 € </w:t>
            </w:r>
          </w:p>
        </w:tc>
        <w:tc>
          <w:tcPr>
            <w:tcW w:w="1418" w:type="dxa"/>
            <w:tcBorders>
              <w:top w:val="nil"/>
              <w:left w:val="nil"/>
              <w:bottom w:val="nil"/>
              <w:right w:val="single" w:sz="4" w:space="0" w:color="auto"/>
            </w:tcBorders>
            <w:shd w:val="clear" w:color="auto" w:fill="auto"/>
            <w:noWrap/>
            <w:vAlign w:val="bottom"/>
            <w:hideMark/>
          </w:tcPr>
          <w:p w14:paraId="15947C4B"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6.379,34 € </w:t>
            </w:r>
          </w:p>
        </w:tc>
        <w:tc>
          <w:tcPr>
            <w:tcW w:w="1559" w:type="dxa"/>
            <w:tcBorders>
              <w:top w:val="nil"/>
              <w:left w:val="nil"/>
              <w:bottom w:val="nil"/>
              <w:right w:val="single" w:sz="4" w:space="0" w:color="auto"/>
            </w:tcBorders>
            <w:shd w:val="clear" w:color="auto" w:fill="auto"/>
            <w:noWrap/>
            <w:vAlign w:val="bottom"/>
            <w:hideMark/>
          </w:tcPr>
          <w:p w14:paraId="7C710316"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6.545,20 € </w:t>
            </w:r>
          </w:p>
        </w:tc>
        <w:tc>
          <w:tcPr>
            <w:tcW w:w="1476" w:type="dxa"/>
            <w:tcBorders>
              <w:top w:val="nil"/>
              <w:left w:val="nil"/>
              <w:bottom w:val="nil"/>
              <w:right w:val="double" w:sz="6" w:space="0" w:color="auto"/>
            </w:tcBorders>
            <w:shd w:val="clear" w:color="auto" w:fill="auto"/>
            <w:noWrap/>
            <w:vAlign w:val="bottom"/>
            <w:hideMark/>
          </w:tcPr>
          <w:p w14:paraId="16906BE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6.715,38 € </w:t>
            </w:r>
          </w:p>
        </w:tc>
      </w:tr>
      <w:tr w:rsidR="00D41674" w:rsidRPr="00237B3D" w14:paraId="52152457" w14:textId="77777777" w:rsidTr="00D41674">
        <w:trPr>
          <w:trHeight w:val="288"/>
        </w:trPr>
        <w:tc>
          <w:tcPr>
            <w:tcW w:w="2812" w:type="dxa"/>
            <w:tcBorders>
              <w:top w:val="nil"/>
              <w:left w:val="double" w:sz="6" w:space="0" w:color="auto"/>
              <w:bottom w:val="single" w:sz="4" w:space="0" w:color="auto"/>
              <w:right w:val="single" w:sz="4" w:space="0" w:color="auto"/>
            </w:tcBorders>
            <w:shd w:val="clear" w:color="000000" w:fill="D9D9D9"/>
            <w:noWrap/>
            <w:vAlign w:val="bottom"/>
            <w:hideMark/>
          </w:tcPr>
          <w:p w14:paraId="1AA73452"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Kindergeld</w:t>
            </w:r>
          </w:p>
        </w:tc>
        <w:tc>
          <w:tcPr>
            <w:tcW w:w="1418" w:type="dxa"/>
            <w:tcBorders>
              <w:top w:val="nil"/>
              <w:left w:val="nil"/>
              <w:bottom w:val="single" w:sz="4" w:space="0" w:color="auto"/>
              <w:right w:val="single" w:sz="4" w:space="0" w:color="auto"/>
            </w:tcBorders>
            <w:shd w:val="clear" w:color="auto" w:fill="auto"/>
            <w:noWrap/>
            <w:vAlign w:val="bottom"/>
            <w:hideMark/>
          </w:tcPr>
          <w:p w14:paraId="1B8EFCFE"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4.560,00 € </w:t>
            </w:r>
          </w:p>
        </w:tc>
        <w:tc>
          <w:tcPr>
            <w:tcW w:w="1417" w:type="dxa"/>
            <w:tcBorders>
              <w:top w:val="nil"/>
              <w:left w:val="nil"/>
              <w:bottom w:val="single" w:sz="4" w:space="0" w:color="auto"/>
              <w:right w:val="single" w:sz="4" w:space="0" w:color="auto"/>
            </w:tcBorders>
            <w:shd w:val="clear" w:color="auto" w:fill="auto"/>
            <w:noWrap/>
            <w:vAlign w:val="bottom"/>
            <w:hideMark/>
          </w:tcPr>
          <w:p w14:paraId="578C4F86"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4.608,00 € </w:t>
            </w:r>
          </w:p>
        </w:tc>
        <w:tc>
          <w:tcPr>
            <w:tcW w:w="1418" w:type="dxa"/>
            <w:tcBorders>
              <w:top w:val="nil"/>
              <w:left w:val="nil"/>
              <w:bottom w:val="single" w:sz="4" w:space="0" w:color="auto"/>
              <w:right w:val="single" w:sz="4" w:space="0" w:color="auto"/>
            </w:tcBorders>
            <w:shd w:val="clear" w:color="auto" w:fill="auto"/>
            <w:noWrap/>
            <w:vAlign w:val="bottom"/>
            <w:hideMark/>
          </w:tcPr>
          <w:p w14:paraId="3CD3AACF"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4.656,00 € </w:t>
            </w:r>
          </w:p>
        </w:tc>
        <w:tc>
          <w:tcPr>
            <w:tcW w:w="1559" w:type="dxa"/>
            <w:tcBorders>
              <w:top w:val="nil"/>
              <w:left w:val="nil"/>
              <w:bottom w:val="single" w:sz="4" w:space="0" w:color="auto"/>
              <w:right w:val="single" w:sz="4" w:space="0" w:color="auto"/>
            </w:tcBorders>
            <w:shd w:val="clear" w:color="auto" w:fill="auto"/>
            <w:noWrap/>
            <w:vAlign w:val="bottom"/>
            <w:hideMark/>
          </w:tcPr>
          <w:p w14:paraId="1F4CACF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4.776,00 € </w:t>
            </w:r>
          </w:p>
        </w:tc>
        <w:tc>
          <w:tcPr>
            <w:tcW w:w="1476" w:type="dxa"/>
            <w:tcBorders>
              <w:top w:val="nil"/>
              <w:left w:val="nil"/>
              <w:bottom w:val="single" w:sz="4" w:space="0" w:color="auto"/>
              <w:right w:val="double" w:sz="6" w:space="0" w:color="auto"/>
            </w:tcBorders>
            <w:shd w:val="clear" w:color="auto" w:fill="auto"/>
            <w:noWrap/>
            <w:vAlign w:val="bottom"/>
            <w:hideMark/>
          </w:tcPr>
          <w:p w14:paraId="5B93D9BE"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4.896,00 € </w:t>
            </w:r>
          </w:p>
        </w:tc>
      </w:tr>
      <w:tr w:rsidR="00D41674" w:rsidRPr="00237B3D" w14:paraId="2898E627" w14:textId="77777777" w:rsidTr="00D41674">
        <w:trPr>
          <w:trHeight w:val="300"/>
        </w:trPr>
        <w:tc>
          <w:tcPr>
            <w:tcW w:w="2812" w:type="dxa"/>
            <w:tcBorders>
              <w:top w:val="nil"/>
              <w:left w:val="double" w:sz="6" w:space="0" w:color="auto"/>
              <w:bottom w:val="double" w:sz="6" w:space="0" w:color="auto"/>
              <w:right w:val="single" w:sz="4" w:space="0" w:color="auto"/>
            </w:tcBorders>
            <w:shd w:val="clear" w:color="000000" w:fill="D9D9D9"/>
            <w:noWrap/>
            <w:vAlign w:val="bottom"/>
            <w:hideMark/>
          </w:tcPr>
          <w:p w14:paraId="1020010A" w14:textId="77777777" w:rsidR="00237B3D" w:rsidRPr="00237B3D" w:rsidRDefault="00237B3D" w:rsidP="00237B3D">
            <w:pPr>
              <w:overflowPunct/>
              <w:autoSpaceDE/>
              <w:autoSpaceDN/>
              <w:adjustRightInd/>
              <w:textAlignment w:val="auto"/>
              <w:rPr>
                <w:rFonts w:ascii="Arial" w:hAnsi="Arial" w:cs="Arial"/>
                <w:b/>
                <w:bCs/>
                <w:color w:val="000000"/>
                <w:sz w:val="18"/>
                <w:szCs w:val="18"/>
              </w:rPr>
            </w:pPr>
            <w:r w:rsidRPr="00237B3D">
              <w:rPr>
                <w:rFonts w:ascii="Arial" w:hAnsi="Arial" w:cs="Arial"/>
                <w:b/>
                <w:bCs/>
                <w:color w:val="000000"/>
                <w:sz w:val="18"/>
                <w:szCs w:val="18"/>
              </w:rPr>
              <w:t>Jahresnettoalimentation</w:t>
            </w:r>
          </w:p>
        </w:tc>
        <w:tc>
          <w:tcPr>
            <w:tcW w:w="1418" w:type="dxa"/>
            <w:tcBorders>
              <w:top w:val="nil"/>
              <w:left w:val="nil"/>
              <w:bottom w:val="double" w:sz="6" w:space="0" w:color="auto"/>
              <w:right w:val="single" w:sz="4" w:space="0" w:color="auto"/>
            </w:tcBorders>
            <w:shd w:val="clear" w:color="auto" w:fill="auto"/>
            <w:noWrap/>
            <w:vAlign w:val="bottom"/>
            <w:hideMark/>
          </w:tcPr>
          <w:p w14:paraId="36D49188"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24.987,07 € </w:t>
            </w:r>
          </w:p>
        </w:tc>
        <w:tc>
          <w:tcPr>
            <w:tcW w:w="1417" w:type="dxa"/>
            <w:tcBorders>
              <w:top w:val="nil"/>
              <w:left w:val="nil"/>
              <w:bottom w:val="double" w:sz="6" w:space="0" w:color="auto"/>
              <w:right w:val="single" w:sz="4" w:space="0" w:color="auto"/>
            </w:tcBorders>
            <w:shd w:val="clear" w:color="auto" w:fill="auto"/>
            <w:noWrap/>
            <w:vAlign w:val="bottom"/>
            <w:hideMark/>
          </w:tcPr>
          <w:p w14:paraId="13DFF164"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25.815,25 € </w:t>
            </w:r>
          </w:p>
        </w:tc>
        <w:tc>
          <w:tcPr>
            <w:tcW w:w="1418" w:type="dxa"/>
            <w:tcBorders>
              <w:top w:val="nil"/>
              <w:left w:val="nil"/>
              <w:bottom w:val="double" w:sz="6" w:space="0" w:color="auto"/>
              <w:right w:val="single" w:sz="4" w:space="0" w:color="auto"/>
            </w:tcBorders>
            <w:shd w:val="clear" w:color="auto" w:fill="auto"/>
            <w:noWrap/>
            <w:vAlign w:val="bottom"/>
            <w:hideMark/>
          </w:tcPr>
          <w:p w14:paraId="113C3AC9"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27.234,90 € </w:t>
            </w:r>
          </w:p>
        </w:tc>
        <w:tc>
          <w:tcPr>
            <w:tcW w:w="1559" w:type="dxa"/>
            <w:tcBorders>
              <w:top w:val="nil"/>
              <w:left w:val="nil"/>
              <w:bottom w:val="double" w:sz="6" w:space="0" w:color="auto"/>
              <w:right w:val="single" w:sz="4" w:space="0" w:color="auto"/>
            </w:tcBorders>
            <w:shd w:val="clear" w:color="auto" w:fill="auto"/>
            <w:noWrap/>
            <w:vAlign w:val="bottom"/>
            <w:hideMark/>
          </w:tcPr>
          <w:p w14:paraId="4EA7E000"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28.220,83 € </w:t>
            </w:r>
          </w:p>
        </w:tc>
        <w:tc>
          <w:tcPr>
            <w:tcW w:w="1476" w:type="dxa"/>
            <w:tcBorders>
              <w:top w:val="nil"/>
              <w:left w:val="nil"/>
              <w:bottom w:val="double" w:sz="6" w:space="0" w:color="auto"/>
              <w:right w:val="double" w:sz="6" w:space="0" w:color="auto"/>
            </w:tcBorders>
            <w:shd w:val="clear" w:color="auto" w:fill="auto"/>
            <w:noWrap/>
            <w:vAlign w:val="bottom"/>
            <w:hideMark/>
          </w:tcPr>
          <w:p w14:paraId="19493592" w14:textId="77777777" w:rsidR="00237B3D" w:rsidRPr="00237B3D" w:rsidRDefault="00237B3D" w:rsidP="00462331">
            <w:pPr>
              <w:overflowPunct/>
              <w:autoSpaceDE/>
              <w:autoSpaceDN/>
              <w:adjustRightInd/>
              <w:jc w:val="right"/>
              <w:textAlignment w:val="auto"/>
              <w:rPr>
                <w:rFonts w:ascii="Arial" w:hAnsi="Arial" w:cs="Arial"/>
                <w:color w:val="000000"/>
                <w:sz w:val="18"/>
                <w:szCs w:val="18"/>
              </w:rPr>
            </w:pPr>
            <w:r w:rsidRPr="00237B3D">
              <w:rPr>
                <w:rFonts w:ascii="Arial" w:hAnsi="Arial" w:cs="Arial"/>
                <w:color w:val="000000"/>
                <w:sz w:val="18"/>
                <w:szCs w:val="18"/>
              </w:rPr>
              <w:t xml:space="preserve">    29.749,28 € </w:t>
            </w:r>
          </w:p>
        </w:tc>
      </w:tr>
    </w:tbl>
    <w:p w14:paraId="00704A8C" w14:textId="77777777" w:rsidR="00A5557D" w:rsidRDefault="00A5557D" w:rsidP="00C0399E">
      <w:pPr>
        <w:overflowPunct/>
        <w:spacing w:line="276" w:lineRule="auto"/>
        <w:textAlignment w:val="auto"/>
        <w:rPr>
          <w:rFonts w:ascii="Arial" w:eastAsia="Calibri" w:hAnsi="Arial" w:cs="Arial"/>
          <w:sz w:val="24"/>
          <w:szCs w:val="24"/>
          <w:lang w:eastAsia="en-US"/>
        </w:rPr>
      </w:pPr>
    </w:p>
    <w:p w14:paraId="153AF4C2" w14:textId="02B7AA41" w:rsidR="005F29A4" w:rsidRDefault="008065C1" w:rsidP="00C0399E">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(4</w:t>
      </w:r>
      <w:r w:rsidR="00CE549E">
        <w:rPr>
          <w:rFonts w:ascii="Arial" w:eastAsia="Calibri" w:hAnsi="Arial" w:cs="Arial"/>
          <w:sz w:val="24"/>
          <w:szCs w:val="24"/>
          <w:lang w:eastAsia="en-US"/>
        </w:rPr>
        <w:t>.</w:t>
      </w:r>
      <w:r>
        <w:rPr>
          <w:rFonts w:ascii="Arial" w:eastAsia="Calibri" w:hAnsi="Arial" w:cs="Arial"/>
          <w:sz w:val="24"/>
          <w:szCs w:val="24"/>
          <w:lang w:eastAsia="en-US"/>
        </w:rPr>
        <w:t>)</w:t>
      </w:r>
      <w:r w:rsidR="005F29A4" w:rsidRPr="005F29A4">
        <w:rPr>
          <w:rFonts w:ascii="Arial" w:eastAsia="Calibri" w:hAnsi="Arial" w:cs="Arial"/>
          <w:sz w:val="24"/>
          <w:szCs w:val="24"/>
          <w:lang w:eastAsia="en-US"/>
        </w:rPr>
        <w:t xml:space="preserve"> In allen verfahrensgegenständlichen Jahren wurde das Mindestabstandsgebot verletzt. </w:t>
      </w:r>
      <w:bookmarkStart w:id="25" w:name="_Hlk93400930"/>
      <w:r w:rsidR="005F29A4" w:rsidRPr="005F29A4">
        <w:rPr>
          <w:rFonts w:ascii="Arial" w:eastAsia="Calibri" w:hAnsi="Arial" w:cs="Arial"/>
          <w:sz w:val="24"/>
          <w:szCs w:val="24"/>
          <w:lang w:eastAsia="en-US"/>
        </w:rPr>
        <w:t xml:space="preserve">Die Nettoalimentation blieb </w:t>
      </w:r>
      <w:bookmarkEnd w:id="25"/>
      <w:r w:rsidR="00AE1529">
        <w:rPr>
          <w:rFonts w:ascii="Arial" w:eastAsia="Calibri" w:hAnsi="Arial" w:cs="Arial"/>
          <w:sz w:val="24"/>
          <w:szCs w:val="24"/>
          <w:lang w:eastAsia="en-US"/>
        </w:rPr>
        <w:t xml:space="preserve">bei konservativer Rechnung </w:t>
      </w:r>
      <w:r w:rsidR="00007BFC">
        <w:rPr>
          <w:rFonts w:ascii="Arial" w:eastAsia="Calibri" w:hAnsi="Arial" w:cs="Arial"/>
          <w:sz w:val="24"/>
          <w:szCs w:val="24"/>
          <w:lang w:eastAsia="en-US"/>
        </w:rPr>
        <w:t xml:space="preserve">zwischen </w:t>
      </w:r>
      <w:r w:rsidR="00287E06">
        <w:rPr>
          <w:rFonts w:ascii="Arial" w:eastAsia="Calibri" w:hAnsi="Arial" w:cs="Arial"/>
          <w:sz w:val="24"/>
          <w:szCs w:val="24"/>
          <w:lang w:eastAsia="en-US"/>
        </w:rPr>
        <w:t>22</w:t>
      </w:r>
      <w:r w:rsidR="00221B6F">
        <w:rPr>
          <w:rFonts w:ascii="Arial" w:eastAsia="Calibri" w:hAnsi="Arial" w:cs="Arial"/>
          <w:sz w:val="24"/>
          <w:szCs w:val="24"/>
          <w:lang w:eastAsia="en-US"/>
        </w:rPr>
        <w:t> %</w:t>
      </w:r>
      <w:r w:rsidR="007F0D4E">
        <w:rPr>
          <w:rFonts w:ascii="Arial" w:eastAsia="Calibri" w:hAnsi="Arial" w:cs="Arial"/>
          <w:sz w:val="24"/>
          <w:szCs w:val="24"/>
          <w:lang w:eastAsia="en-US"/>
        </w:rPr>
        <w:t xml:space="preserve"> und 2</w:t>
      </w:r>
      <w:r w:rsidR="00287E06">
        <w:rPr>
          <w:rFonts w:ascii="Arial" w:eastAsia="Calibri" w:hAnsi="Arial" w:cs="Arial"/>
          <w:sz w:val="24"/>
          <w:szCs w:val="24"/>
          <w:lang w:eastAsia="en-US"/>
        </w:rPr>
        <w:t>8</w:t>
      </w:r>
      <w:r w:rsidR="00221B6F">
        <w:rPr>
          <w:rFonts w:ascii="Arial" w:eastAsia="Calibri" w:hAnsi="Arial" w:cs="Arial"/>
          <w:sz w:val="24"/>
          <w:szCs w:val="24"/>
          <w:lang w:eastAsia="en-US"/>
        </w:rPr>
        <w:t> </w:t>
      </w:r>
      <w:r w:rsidR="007F0D4E">
        <w:rPr>
          <w:rFonts w:ascii="Arial" w:eastAsia="Calibri" w:hAnsi="Arial" w:cs="Arial"/>
          <w:sz w:val="24"/>
          <w:szCs w:val="24"/>
          <w:lang w:eastAsia="en-US"/>
        </w:rPr>
        <w:t xml:space="preserve">% </w:t>
      </w:r>
      <w:r w:rsidR="00662A8E" w:rsidRPr="00662A8E">
        <w:rPr>
          <w:rFonts w:ascii="Arial" w:eastAsia="Calibri" w:hAnsi="Arial" w:cs="Arial"/>
          <w:sz w:val="24"/>
          <w:szCs w:val="24"/>
          <w:lang w:eastAsia="en-US"/>
        </w:rPr>
        <w:t>hinter der aus dem Grundsicherungsniveau abgeleiteten Mindestalimentation zurück:</w:t>
      </w:r>
      <w:r w:rsidR="00662A8E">
        <w:rPr>
          <w:rFonts w:ascii="Arial" w:eastAsia="Calibri" w:hAnsi="Arial" w:cs="Arial"/>
          <w:sz w:val="24"/>
          <w:szCs w:val="24"/>
          <w:lang w:eastAsia="en-US"/>
        </w:rPr>
        <w:t xml:space="preserve"> </w:t>
      </w:r>
    </w:p>
    <w:tbl>
      <w:tblPr>
        <w:tblW w:w="10100" w:type="dxa"/>
        <w:tblCellMar>
          <w:left w:w="70" w:type="dxa"/>
          <w:right w:w="70" w:type="dxa"/>
        </w:tblCellMar>
        <w:tblLook w:val="04A0" w:firstRow="1" w:lastRow="0" w:firstColumn="1" w:lastColumn="0" w:noHBand="0" w:noVBand="1"/>
      </w:tblPr>
      <w:tblGrid>
        <w:gridCol w:w="3320"/>
        <w:gridCol w:w="1340"/>
        <w:gridCol w:w="1360"/>
        <w:gridCol w:w="1360"/>
        <w:gridCol w:w="1360"/>
        <w:gridCol w:w="1360"/>
      </w:tblGrid>
      <w:tr w:rsidR="00287E06" w:rsidRPr="00287E06" w14:paraId="763D4DC6" w14:textId="77777777" w:rsidTr="00287E06">
        <w:trPr>
          <w:trHeight w:val="312"/>
        </w:trPr>
        <w:tc>
          <w:tcPr>
            <w:tcW w:w="3320" w:type="dxa"/>
            <w:tcBorders>
              <w:top w:val="double" w:sz="6" w:space="0" w:color="auto"/>
              <w:left w:val="double" w:sz="6" w:space="0" w:color="auto"/>
              <w:bottom w:val="single" w:sz="8" w:space="0" w:color="auto"/>
              <w:right w:val="single" w:sz="4" w:space="0" w:color="auto"/>
            </w:tcBorders>
            <w:shd w:val="clear" w:color="000000" w:fill="FFFFFF"/>
            <w:noWrap/>
            <w:vAlign w:val="bottom"/>
            <w:hideMark/>
          </w:tcPr>
          <w:p w14:paraId="23A59F3D" w14:textId="77777777" w:rsidR="00287E06" w:rsidRPr="00287E06" w:rsidRDefault="00287E06" w:rsidP="00287E06">
            <w:pPr>
              <w:overflowPunct/>
              <w:autoSpaceDE/>
              <w:autoSpaceDN/>
              <w:adjustRightInd/>
              <w:textAlignment w:val="auto"/>
              <w:rPr>
                <w:rFonts w:ascii="Arial" w:hAnsi="Arial" w:cs="Arial"/>
                <w:b/>
                <w:bCs/>
                <w:color w:val="000000"/>
              </w:rPr>
            </w:pPr>
            <w:r w:rsidRPr="00287E06">
              <w:rPr>
                <w:rFonts w:ascii="Arial" w:hAnsi="Arial" w:cs="Arial"/>
                <w:b/>
                <w:bCs/>
                <w:color w:val="000000"/>
              </w:rPr>
              <w:lastRenderedPageBreak/>
              <w:t> </w:t>
            </w:r>
          </w:p>
        </w:tc>
        <w:tc>
          <w:tcPr>
            <w:tcW w:w="1340" w:type="dxa"/>
            <w:tcBorders>
              <w:top w:val="double" w:sz="6" w:space="0" w:color="auto"/>
              <w:left w:val="nil"/>
              <w:bottom w:val="single" w:sz="8" w:space="0" w:color="auto"/>
              <w:right w:val="single" w:sz="4" w:space="0" w:color="auto"/>
            </w:tcBorders>
            <w:shd w:val="clear" w:color="000000" w:fill="FFFFFF"/>
            <w:noWrap/>
            <w:vAlign w:val="bottom"/>
            <w:hideMark/>
          </w:tcPr>
          <w:p w14:paraId="23DABD2E" w14:textId="77777777" w:rsidR="00287E06" w:rsidRPr="00287E06" w:rsidRDefault="00287E06" w:rsidP="00287E06">
            <w:pPr>
              <w:overflowPunct/>
              <w:autoSpaceDE/>
              <w:autoSpaceDN/>
              <w:adjustRightInd/>
              <w:jc w:val="center"/>
              <w:textAlignment w:val="auto"/>
              <w:rPr>
                <w:rFonts w:ascii="Arial" w:hAnsi="Arial" w:cs="Arial"/>
                <w:b/>
                <w:bCs/>
                <w:color w:val="000000"/>
              </w:rPr>
            </w:pPr>
            <w:r w:rsidRPr="00287E06">
              <w:rPr>
                <w:rFonts w:ascii="Arial" w:hAnsi="Arial" w:cs="Arial"/>
                <w:b/>
                <w:bCs/>
                <w:color w:val="000000"/>
              </w:rPr>
              <w:t>2016</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19985545" w14:textId="77777777" w:rsidR="00287E06" w:rsidRPr="00287E06" w:rsidRDefault="00287E06" w:rsidP="00287E06">
            <w:pPr>
              <w:overflowPunct/>
              <w:autoSpaceDE/>
              <w:autoSpaceDN/>
              <w:adjustRightInd/>
              <w:jc w:val="center"/>
              <w:textAlignment w:val="auto"/>
              <w:rPr>
                <w:rFonts w:ascii="Arial" w:hAnsi="Arial" w:cs="Arial"/>
                <w:b/>
                <w:bCs/>
                <w:color w:val="000000"/>
              </w:rPr>
            </w:pPr>
            <w:r w:rsidRPr="00287E06">
              <w:rPr>
                <w:rFonts w:ascii="Arial" w:hAnsi="Arial" w:cs="Arial"/>
                <w:b/>
                <w:bCs/>
                <w:color w:val="000000"/>
              </w:rPr>
              <w:t>2017</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040BFD74" w14:textId="77777777" w:rsidR="00287E06" w:rsidRPr="00287E06" w:rsidRDefault="00287E06" w:rsidP="00287E06">
            <w:pPr>
              <w:overflowPunct/>
              <w:autoSpaceDE/>
              <w:autoSpaceDN/>
              <w:adjustRightInd/>
              <w:jc w:val="center"/>
              <w:textAlignment w:val="auto"/>
              <w:rPr>
                <w:rFonts w:ascii="Arial" w:hAnsi="Arial" w:cs="Arial"/>
                <w:b/>
                <w:bCs/>
                <w:color w:val="000000"/>
              </w:rPr>
            </w:pPr>
            <w:r w:rsidRPr="00287E06">
              <w:rPr>
                <w:rFonts w:ascii="Arial" w:hAnsi="Arial" w:cs="Arial"/>
                <w:b/>
                <w:bCs/>
                <w:color w:val="000000"/>
              </w:rPr>
              <w:t>2018</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5B070642" w14:textId="77777777" w:rsidR="00287E06" w:rsidRPr="00287E06" w:rsidRDefault="00287E06" w:rsidP="00287E06">
            <w:pPr>
              <w:overflowPunct/>
              <w:autoSpaceDE/>
              <w:autoSpaceDN/>
              <w:adjustRightInd/>
              <w:jc w:val="center"/>
              <w:textAlignment w:val="auto"/>
              <w:rPr>
                <w:rFonts w:ascii="Arial" w:hAnsi="Arial" w:cs="Arial"/>
                <w:b/>
                <w:bCs/>
                <w:color w:val="000000"/>
              </w:rPr>
            </w:pPr>
            <w:r w:rsidRPr="00287E06">
              <w:rPr>
                <w:rFonts w:ascii="Arial" w:hAnsi="Arial" w:cs="Arial"/>
                <w:b/>
                <w:bCs/>
                <w:color w:val="000000"/>
              </w:rPr>
              <w:t>2019</w:t>
            </w:r>
          </w:p>
        </w:tc>
        <w:tc>
          <w:tcPr>
            <w:tcW w:w="1360" w:type="dxa"/>
            <w:tcBorders>
              <w:top w:val="double" w:sz="6" w:space="0" w:color="auto"/>
              <w:left w:val="nil"/>
              <w:bottom w:val="single" w:sz="8" w:space="0" w:color="auto"/>
              <w:right w:val="double" w:sz="6" w:space="0" w:color="auto"/>
            </w:tcBorders>
            <w:shd w:val="clear" w:color="000000" w:fill="FFFFFF"/>
            <w:noWrap/>
            <w:vAlign w:val="bottom"/>
            <w:hideMark/>
          </w:tcPr>
          <w:p w14:paraId="3787F7E1" w14:textId="77777777" w:rsidR="00287E06" w:rsidRPr="00287E06" w:rsidRDefault="00287E06" w:rsidP="00287E06">
            <w:pPr>
              <w:overflowPunct/>
              <w:autoSpaceDE/>
              <w:autoSpaceDN/>
              <w:adjustRightInd/>
              <w:jc w:val="center"/>
              <w:textAlignment w:val="auto"/>
              <w:rPr>
                <w:rFonts w:ascii="Arial" w:hAnsi="Arial" w:cs="Arial"/>
                <w:b/>
                <w:bCs/>
                <w:color w:val="000000"/>
              </w:rPr>
            </w:pPr>
            <w:r w:rsidRPr="00287E06">
              <w:rPr>
                <w:rFonts w:ascii="Arial" w:hAnsi="Arial" w:cs="Arial"/>
                <w:b/>
                <w:bCs/>
                <w:color w:val="000000"/>
              </w:rPr>
              <w:t>2020</w:t>
            </w:r>
          </w:p>
        </w:tc>
      </w:tr>
      <w:tr w:rsidR="00287E06" w:rsidRPr="00287E06" w14:paraId="37607621" w14:textId="77777777" w:rsidTr="00287E06">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28DD995F" w14:textId="77777777" w:rsidR="00287E06" w:rsidRPr="00287E06" w:rsidRDefault="00287E06" w:rsidP="00287E06">
            <w:pPr>
              <w:overflowPunct/>
              <w:autoSpaceDE/>
              <w:autoSpaceDN/>
              <w:adjustRightInd/>
              <w:textAlignment w:val="auto"/>
              <w:rPr>
                <w:rFonts w:ascii="Arial" w:hAnsi="Arial" w:cs="Arial"/>
                <w:b/>
                <w:bCs/>
              </w:rPr>
            </w:pPr>
            <w:r w:rsidRPr="00287E06">
              <w:rPr>
                <w:rFonts w:ascii="Arial" w:hAnsi="Arial" w:cs="Arial"/>
                <w:b/>
                <w:bCs/>
              </w:rPr>
              <w:t>Grundsicherungsbedarf /Jahr</w:t>
            </w:r>
          </w:p>
        </w:tc>
        <w:tc>
          <w:tcPr>
            <w:tcW w:w="1340" w:type="dxa"/>
            <w:tcBorders>
              <w:top w:val="nil"/>
              <w:left w:val="nil"/>
              <w:bottom w:val="nil"/>
              <w:right w:val="single" w:sz="4" w:space="0" w:color="auto"/>
            </w:tcBorders>
            <w:shd w:val="clear" w:color="auto" w:fill="auto"/>
            <w:noWrap/>
            <w:vAlign w:val="bottom"/>
            <w:hideMark/>
          </w:tcPr>
          <w:p w14:paraId="58518F7A"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29.992,56 €</w:t>
            </w:r>
          </w:p>
        </w:tc>
        <w:tc>
          <w:tcPr>
            <w:tcW w:w="1360" w:type="dxa"/>
            <w:tcBorders>
              <w:top w:val="nil"/>
              <w:left w:val="nil"/>
              <w:bottom w:val="nil"/>
              <w:right w:val="single" w:sz="4" w:space="0" w:color="auto"/>
            </w:tcBorders>
            <w:shd w:val="clear" w:color="auto" w:fill="auto"/>
            <w:noWrap/>
            <w:vAlign w:val="bottom"/>
            <w:hideMark/>
          </w:tcPr>
          <w:p w14:paraId="4BFA1D7A"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30.896,49 €</w:t>
            </w:r>
          </w:p>
        </w:tc>
        <w:tc>
          <w:tcPr>
            <w:tcW w:w="1360" w:type="dxa"/>
            <w:tcBorders>
              <w:top w:val="nil"/>
              <w:left w:val="nil"/>
              <w:bottom w:val="nil"/>
              <w:right w:val="single" w:sz="4" w:space="0" w:color="auto"/>
            </w:tcBorders>
            <w:shd w:val="clear" w:color="auto" w:fill="auto"/>
            <w:noWrap/>
            <w:vAlign w:val="bottom"/>
            <w:hideMark/>
          </w:tcPr>
          <w:p w14:paraId="5549A936"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31.702,15 €</w:t>
            </w:r>
          </w:p>
        </w:tc>
        <w:tc>
          <w:tcPr>
            <w:tcW w:w="1360" w:type="dxa"/>
            <w:tcBorders>
              <w:top w:val="nil"/>
              <w:left w:val="nil"/>
              <w:bottom w:val="nil"/>
              <w:right w:val="single" w:sz="4" w:space="0" w:color="auto"/>
            </w:tcBorders>
            <w:shd w:val="clear" w:color="auto" w:fill="auto"/>
            <w:noWrap/>
            <w:vAlign w:val="bottom"/>
            <w:hideMark/>
          </w:tcPr>
          <w:p w14:paraId="05ED58EF"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32.621,63 €</w:t>
            </w:r>
          </w:p>
        </w:tc>
        <w:tc>
          <w:tcPr>
            <w:tcW w:w="1360" w:type="dxa"/>
            <w:tcBorders>
              <w:top w:val="nil"/>
              <w:left w:val="nil"/>
              <w:bottom w:val="nil"/>
              <w:right w:val="double" w:sz="6" w:space="0" w:color="auto"/>
            </w:tcBorders>
            <w:shd w:val="clear" w:color="auto" w:fill="auto"/>
            <w:noWrap/>
            <w:vAlign w:val="bottom"/>
            <w:hideMark/>
          </w:tcPr>
          <w:p w14:paraId="7D7973E8"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33.106,04 €</w:t>
            </w:r>
          </w:p>
        </w:tc>
      </w:tr>
      <w:tr w:rsidR="00287E06" w:rsidRPr="00287E06" w14:paraId="2F9CDFCE" w14:textId="77777777" w:rsidTr="00287E06">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0AA0AABB" w14:textId="77777777" w:rsidR="00287E06" w:rsidRPr="00287E06" w:rsidRDefault="00287E06" w:rsidP="00287E06">
            <w:pPr>
              <w:overflowPunct/>
              <w:autoSpaceDE/>
              <w:autoSpaceDN/>
              <w:adjustRightInd/>
              <w:textAlignment w:val="auto"/>
              <w:rPr>
                <w:rFonts w:ascii="Arial" w:hAnsi="Arial" w:cs="Arial"/>
                <w:b/>
                <w:bCs/>
              </w:rPr>
            </w:pPr>
            <w:r w:rsidRPr="00287E06">
              <w:rPr>
                <w:rFonts w:ascii="Arial" w:hAnsi="Arial" w:cs="Arial"/>
                <w:b/>
                <w:bCs/>
              </w:rPr>
              <w:t>Mindestalimentation (115%)/Jahr</w:t>
            </w:r>
          </w:p>
        </w:tc>
        <w:tc>
          <w:tcPr>
            <w:tcW w:w="1340" w:type="dxa"/>
            <w:tcBorders>
              <w:top w:val="nil"/>
              <w:left w:val="nil"/>
              <w:bottom w:val="nil"/>
              <w:right w:val="single" w:sz="4" w:space="0" w:color="auto"/>
            </w:tcBorders>
            <w:shd w:val="clear" w:color="auto" w:fill="auto"/>
            <w:noWrap/>
            <w:vAlign w:val="bottom"/>
            <w:hideMark/>
          </w:tcPr>
          <w:p w14:paraId="50C27A23"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34.491,44 €</w:t>
            </w:r>
          </w:p>
        </w:tc>
        <w:tc>
          <w:tcPr>
            <w:tcW w:w="1360" w:type="dxa"/>
            <w:tcBorders>
              <w:top w:val="nil"/>
              <w:left w:val="nil"/>
              <w:bottom w:val="nil"/>
              <w:right w:val="single" w:sz="4" w:space="0" w:color="auto"/>
            </w:tcBorders>
            <w:shd w:val="clear" w:color="auto" w:fill="auto"/>
            <w:noWrap/>
            <w:vAlign w:val="bottom"/>
            <w:hideMark/>
          </w:tcPr>
          <w:p w14:paraId="4FD45F04"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35.530,96 €</w:t>
            </w:r>
          </w:p>
        </w:tc>
        <w:tc>
          <w:tcPr>
            <w:tcW w:w="1360" w:type="dxa"/>
            <w:tcBorders>
              <w:top w:val="nil"/>
              <w:left w:val="nil"/>
              <w:bottom w:val="nil"/>
              <w:right w:val="single" w:sz="4" w:space="0" w:color="auto"/>
            </w:tcBorders>
            <w:shd w:val="clear" w:color="auto" w:fill="auto"/>
            <w:noWrap/>
            <w:vAlign w:val="bottom"/>
            <w:hideMark/>
          </w:tcPr>
          <w:p w14:paraId="214DEF2D"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36.457,47 €</w:t>
            </w:r>
          </w:p>
        </w:tc>
        <w:tc>
          <w:tcPr>
            <w:tcW w:w="1360" w:type="dxa"/>
            <w:tcBorders>
              <w:top w:val="nil"/>
              <w:left w:val="nil"/>
              <w:bottom w:val="nil"/>
              <w:right w:val="single" w:sz="4" w:space="0" w:color="auto"/>
            </w:tcBorders>
            <w:shd w:val="clear" w:color="auto" w:fill="auto"/>
            <w:noWrap/>
            <w:vAlign w:val="bottom"/>
            <w:hideMark/>
          </w:tcPr>
          <w:p w14:paraId="45DD5934"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37.514,87 €</w:t>
            </w:r>
          </w:p>
        </w:tc>
        <w:tc>
          <w:tcPr>
            <w:tcW w:w="1360" w:type="dxa"/>
            <w:tcBorders>
              <w:top w:val="nil"/>
              <w:left w:val="nil"/>
              <w:bottom w:val="nil"/>
              <w:right w:val="double" w:sz="6" w:space="0" w:color="auto"/>
            </w:tcBorders>
            <w:shd w:val="clear" w:color="auto" w:fill="auto"/>
            <w:noWrap/>
            <w:vAlign w:val="bottom"/>
            <w:hideMark/>
          </w:tcPr>
          <w:p w14:paraId="57B40125"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38.071,95 €</w:t>
            </w:r>
          </w:p>
        </w:tc>
      </w:tr>
      <w:tr w:rsidR="00287E06" w:rsidRPr="00287E06" w14:paraId="53E07904" w14:textId="77777777" w:rsidTr="00287E06">
        <w:trPr>
          <w:trHeight w:val="300"/>
        </w:trPr>
        <w:tc>
          <w:tcPr>
            <w:tcW w:w="3320" w:type="dxa"/>
            <w:tcBorders>
              <w:top w:val="nil"/>
              <w:left w:val="double" w:sz="6" w:space="0" w:color="auto"/>
              <w:bottom w:val="nil"/>
              <w:right w:val="single" w:sz="4" w:space="0" w:color="auto"/>
            </w:tcBorders>
            <w:shd w:val="clear" w:color="000000" w:fill="D9D9D9"/>
            <w:noWrap/>
            <w:vAlign w:val="bottom"/>
            <w:hideMark/>
          </w:tcPr>
          <w:p w14:paraId="3042A2E0" w14:textId="77777777" w:rsidR="00287E06" w:rsidRPr="00287E06" w:rsidRDefault="00287E06" w:rsidP="00287E06">
            <w:pPr>
              <w:overflowPunct/>
              <w:autoSpaceDE/>
              <w:autoSpaceDN/>
              <w:adjustRightInd/>
              <w:textAlignment w:val="auto"/>
              <w:rPr>
                <w:rFonts w:ascii="Arial" w:hAnsi="Arial" w:cs="Arial"/>
                <w:b/>
                <w:bCs/>
              </w:rPr>
            </w:pPr>
            <w:r w:rsidRPr="00287E06">
              <w:rPr>
                <w:rFonts w:ascii="Arial" w:hAnsi="Arial" w:cs="Arial"/>
                <w:b/>
                <w:bCs/>
              </w:rPr>
              <w:t>Nettoalimentation A4 /Jahr</w:t>
            </w:r>
          </w:p>
        </w:tc>
        <w:tc>
          <w:tcPr>
            <w:tcW w:w="1340" w:type="dxa"/>
            <w:tcBorders>
              <w:top w:val="nil"/>
              <w:left w:val="nil"/>
              <w:bottom w:val="nil"/>
              <w:right w:val="single" w:sz="4" w:space="0" w:color="auto"/>
            </w:tcBorders>
            <w:shd w:val="clear" w:color="auto" w:fill="auto"/>
            <w:noWrap/>
            <w:vAlign w:val="bottom"/>
            <w:hideMark/>
          </w:tcPr>
          <w:p w14:paraId="076F3855"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24.987,07 €</w:t>
            </w:r>
          </w:p>
        </w:tc>
        <w:tc>
          <w:tcPr>
            <w:tcW w:w="1360" w:type="dxa"/>
            <w:tcBorders>
              <w:top w:val="nil"/>
              <w:left w:val="nil"/>
              <w:bottom w:val="nil"/>
              <w:right w:val="single" w:sz="4" w:space="0" w:color="auto"/>
            </w:tcBorders>
            <w:shd w:val="clear" w:color="auto" w:fill="auto"/>
            <w:noWrap/>
            <w:vAlign w:val="bottom"/>
            <w:hideMark/>
          </w:tcPr>
          <w:p w14:paraId="50D0B6E5"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25.815,25 €</w:t>
            </w:r>
          </w:p>
        </w:tc>
        <w:tc>
          <w:tcPr>
            <w:tcW w:w="1360" w:type="dxa"/>
            <w:tcBorders>
              <w:top w:val="nil"/>
              <w:left w:val="nil"/>
              <w:bottom w:val="nil"/>
              <w:right w:val="single" w:sz="4" w:space="0" w:color="auto"/>
            </w:tcBorders>
            <w:shd w:val="clear" w:color="auto" w:fill="auto"/>
            <w:noWrap/>
            <w:vAlign w:val="bottom"/>
            <w:hideMark/>
          </w:tcPr>
          <w:p w14:paraId="72055ADC"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27.234,90 €</w:t>
            </w:r>
          </w:p>
        </w:tc>
        <w:tc>
          <w:tcPr>
            <w:tcW w:w="1360" w:type="dxa"/>
            <w:tcBorders>
              <w:top w:val="nil"/>
              <w:left w:val="nil"/>
              <w:bottom w:val="nil"/>
              <w:right w:val="single" w:sz="4" w:space="0" w:color="auto"/>
            </w:tcBorders>
            <w:shd w:val="clear" w:color="auto" w:fill="auto"/>
            <w:noWrap/>
            <w:vAlign w:val="bottom"/>
            <w:hideMark/>
          </w:tcPr>
          <w:p w14:paraId="527BAACC"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28.220,83 €</w:t>
            </w:r>
          </w:p>
        </w:tc>
        <w:tc>
          <w:tcPr>
            <w:tcW w:w="1360" w:type="dxa"/>
            <w:tcBorders>
              <w:top w:val="nil"/>
              <w:left w:val="nil"/>
              <w:bottom w:val="nil"/>
              <w:right w:val="single" w:sz="4" w:space="0" w:color="auto"/>
            </w:tcBorders>
            <w:shd w:val="clear" w:color="auto" w:fill="auto"/>
            <w:noWrap/>
            <w:vAlign w:val="bottom"/>
            <w:hideMark/>
          </w:tcPr>
          <w:p w14:paraId="6D543E21"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29.749,28 €</w:t>
            </w:r>
          </w:p>
        </w:tc>
      </w:tr>
      <w:tr w:rsidR="00287E06" w:rsidRPr="00287E06" w14:paraId="21C9F6C3" w14:textId="77777777" w:rsidTr="00287E06">
        <w:trPr>
          <w:trHeight w:val="288"/>
        </w:trPr>
        <w:tc>
          <w:tcPr>
            <w:tcW w:w="3320" w:type="dxa"/>
            <w:vMerge w:val="restart"/>
            <w:tcBorders>
              <w:top w:val="single" w:sz="8" w:space="0" w:color="auto"/>
              <w:left w:val="double" w:sz="6" w:space="0" w:color="auto"/>
              <w:bottom w:val="double" w:sz="6" w:space="0" w:color="000000"/>
              <w:right w:val="single" w:sz="4" w:space="0" w:color="auto"/>
            </w:tcBorders>
            <w:shd w:val="clear" w:color="000000" w:fill="D9D9D9"/>
            <w:hideMark/>
          </w:tcPr>
          <w:p w14:paraId="658F6033" w14:textId="77777777" w:rsidR="00287E06" w:rsidRPr="00287E06" w:rsidRDefault="00287E06" w:rsidP="00287E06">
            <w:pPr>
              <w:overflowPunct/>
              <w:autoSpaceDE/>
              <w:autoSpaceDN/>
              <w:adjustRightInd/>
              <w:textAlignment w:val="auto"/>
              <w:rPr>
                <w:rFonts w:ascii="Arial" w:hAnsi="Arial" w:cs="Arial"/>
                <w:b/>
                <w:bCs/>
              </w:rPr>
            </w:pPr>
            <w:r w:rsidRPr="00287E06">
              <w:rPr>
                <w:rFonts w:ascii="Arial" w:hAnsi="Arial" w:cs="Arial"/>
                <w:b/>
                <w:bCs/>
              </w:rPr>
              <w:t>Fehlbetrag absolut und in % der Mindestalimentation</w:t>
            </w:r>
          </w:p>
        </w:tc>
        <w:tc>
          <w:tcPr>
            <w:tcW w:w="1340" w:type="dxa"/>
            <w:tcBorders>
              <w:top w:val="single" w:sz="8" w:space="0" w:color="auto"/>
              <w:left w:val="nil"/>
              <w:bottom w:val="nil"/>
              <w:right w:val="single" w:sz="4" w:space="0" w:color="auto"/>
            </w:tcBorders>
            <w:shd w:val="clear" w:color="auto" w:fill="auto"/>
            <w:noWrap/>
            <w:vAlign w:val="bottom"/>
            <w:hideMark/>
          </w:tcPr>
          <w:p w14:paraId="486A64E3"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-9.504,37 €</w:t>
            </w:r>
          </w:p>
        </w:tc>
        <w:tc>
          <w:tcPr>
            <w:tcW w:w="1360" w:type="dxa"/>
            <w:tcBorders>
              <w:top w:val="single" w:sz="8" w:space="0" w:color="auto"/>
              <w:left w:val="nil"/>
              <w:bottom w:val="nil"/>
              <w:right w:val="single" w:sz="4" w:space="0" w:color="auto"/>
            </w:tcBorders>
            <w:shd w:val="clear" w:color="auto" w:fill="auto"/>
            <w:noWrap/>
            <w:vAlign w:val="bottom"/>
            <w:hideMark/>
          </w:tcPr>
          <w:p w14:paraId="34AD2292"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-9.715,71 €</w:t>
            </w:r>
          </w:p>
        </w:tc>
        <w:tc>
          <w:tcPr>
            <w:tcW w:w="1360" w:type="dxa"/>
            <w:tcBorders>
              <w:top w:val="single" w:sz="8" w:space="0" w:color="auto"/>
              <w:left w:val="nil"/>
              <w:bottom w:val="nil"/>
              <w:right w:val="single" w:sz="4" w:space="0" w:color="auto"/>
            </w:tcBorders>
            <w:shd w:val="clear" w:color="auto" w:fill="auto"/>
            <w:noWrap/>
            <w:vAlign w:val="bottom"/>
            <w:hideMark/>
          </w:tcPr>
          <w:p w14:paraId="7114072A"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-9.222,57 €</w:t>
            </w:r>
          </w:p>
        </w:tc>
        <w:tc>
          <w:tcPr>
            <w:tcW w:w="1360" w:type="dxa"/>
            <w:tcBorders>
              <w:top w:val="single" w:sz="8" w:space="0" w:color="auto"/>
              <w:left w:val="nil"/>
              <w:bottom w:val="nil"/>
              <w:right w:val="single" w:sz="4" w:space="0" w:color="auto"/>
            </w:tcBorders>
            <w:shd w:val="clear" w:color="auto" w:fill="auto"/>
            <w:noWrap/>
            <w:vAlign w:val="bottom"/>
            <w:hideMark/>
          </w:tcPr>
          <w:p w14:paraId="2863C514"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-9.294,04 €</w:t>
            </w:r>
          </w:p>
        </w:tc>
        <w:tc>
          <w:tcPr>
            <w:tcW w:w="1360" w:type="dxa"/>
            <w:tcBorders>
              <w:top w:val="single" w:sz="8" w:space="0" w:color="auto"/>
              <w:left w:val="nil"/>
              <w:bottom w:val="nil"/>
              <w:right w:val="double" w:sz="6" w:space="0" w:color="auto"/>
            </w:tcBorders>
            <w:shd w:val="clear" w:color="auto" w:fill="auto"/>
            <w:noWrap/>
            <w:vAlign w:val="bottom"/>
            <w:hideMark/>
          </w:tcPr>
          <w:p w14:paraId="168C5C9F" w14:textId="77777777"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-8.322,67 €</w:t>
            </w:r>
          </w:p>
        </w:tc>
      </w:tr>
      <w:tr w:rsidR="00287E06" w:rsidRPr="00287E06" w14:paraId="1CF493AB" w14:textId="77777777" w:rsidTr="00287E06">
        <w:trPr>
          <w:trHeight w:val="264"/>
        </w:trPr>
        <w:tc>
          <w:tcPr>
            <w:tcW w:w="3320" w:type="dxa"/>
            <w:vMerge/>
            <w:tcBorders>
              <w:top w:val="single" w:sz="8" w:space="0" w:color="auto"/>
              <w:left w:val="double" w:sz="6" w:space="0" w:color="auto"/>
              <w:bottom w:val="double" w:sz="6" w:space="0" w:color="000000"/>
              <w:right w:val="single" w:sz="4" w:space="0" w:color="auto"/>
            </w:tcBorders>
            <w:vAlign w:val="center"/>
            <w:hideMark/>
          </w:tcPr>
          <w:p w14:paraId="5C0C56C1" w14:textId="77777777" w:rsidR="00287E06" w:rsidRPr="00287E06" w:rsidRDefault="00287E06" w:rsidP="00287E06">
            <w:pPr>
              <w:overflowPunct/>
              <w:autoSpaceDE/>
              <w:autoSpaceDN/>
              <w:adjustRightInd/>
              <w:textAlignment w:val="auto"/>
              <w:rPr>
                <w:rFonts w:ascii="Arial" w:hAnsi="Arial" w:cs="Arial"/>
              </w:rPr>
            </w:pPr>
          </w:p>
        </w:tc>
        <w:tc>
          <w:tcPr>
            <w:tcW w:w="1340" w:type="dxa"/>
            <w:tcBorders>
              <w:top w:val="nil"/>
              <w:left w:val="nil"/>
              <w:bottom w:val="double" w:sz="6" w:space="0" w:color="auto"/>
              <w:right w:val="single" w:sz="4" w:space="0" w:color="auto"/>
            </w:tcBorders>
            <w:shd w:val="clear" w:color="auto" w:fill="auto"/>
            <w:noWrap/>
            <w:vAlign w:val="center"/>
            <w:hideMark/>
          </w:tcPr>
          <w:p w14:paraId="606901A1" w14:textId="64598F50"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-28</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37705D53" w14:textId="30725D90"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-27</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6CB8F8D7" w14:textId="655C0258"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-25</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0F2F3915" w14:textId="25603D1C"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-25</w:t>
            </w:r>
            <w:r w:rsidR="00221B6F">
              <w:rPr>
                <w:rFonts w:ascii="Arial" w:hAnsi="Arial" w:cs="Arial"/>
                <w:color w:val="000000"/>
              </w:rPr>
              <w:t xml:space="preserve"> %</w:t>
            </w:r>
          </w:p>
        </w:tc>
        <w:tc>
          <w:tcPr>
            <w:tcW w:w="1360" w:type="dxa"/>
            <w:tcBorders>
              <w:top w:val="nil"/>
              <w:left w:val="nil"/>
              <w:bottom w:val="double" w:sz="6" w:space="0" w:color="auto"/>
              <w:right w:val="double" w:sz="6" w:space="0" w:color="auto"/>
            </w:tcBorders>
            <w:shd w:val="clear" w:color="auto" w:fill="auto"/>
            <w:noWrap/>
            <w:vAlign w:val="center"/>
            <w:hideMark/>
          </w:tcPr>
          <w:p w14:paraId="21ADA08A" w14:textId="48E3FBA1" w:rsidR="00287E06" w:rsidRPr="00287E06" w:rsidRDefault="00287E06" w:rsidP="00287E06">
            <w:pPr>
              <w:overflowPunct/>
              <w:autoSpaceDE/>
              <w:autoSpaceDN/>
              <w:adjustRightInd/>
              <w:jc w:val="right"/>
              <w:textAlignment w:val="auto"/>
              <w:rPr>
                <w:rFonts w:ascii="Arial" w:hAnsi="Arial" w:cs="Arial"/>
                <w:color w:val="000000"/>
              </w:rPr>
            </w:pPr>
            <w:r w:rsidRPr="00287E06">
              <w:rPr>
                <w:rFonts w:ascii="Arial" w:hAnsi="Arial" w:cs="Arial"/>
                <w:color w:val="000000"/>
              </w:rPr>
              <w:t>-22</w:t>
            </w:r>
            <w:r w:rsidR="00221B6F">
              <w:rPr>
                <w:rFonts w:ascii="Arial" w:hAnsi="Arial" w:cs="Arial"/>
                <w:color w:val="000000"/>
              </w:rPr>
              <w:t xml:space="preserve"> %</w:t>
            </w:r>
          </w:p>
        </w:tc>
      </w:tr>
    </w:tbl>
    <w:p w14:paraId="01C6000D" w14:textId="77777777" w:rsidR="007F0D4E" w:rsidRDefault="007F0D4E" w:rsidP="00C0399E">
      <w:pPr>
        <w:overflowPunct/>
        <w:spacing w:line="276" w:lineRule="auto"/>
        <w:textAlignment w:val="auto"/>
        <w:rPr>
          <w:rFonts w:ascii="Arial" w:eastAsia="Calibri" w:hAnsi="Arial" w:cs="Arial"/>
          <w:sz w:val="24"/>
          <w:szCs w:val="24"/>
          <w:lang w:eastAsia="en-US"/>
        </w:rPr>
      </w:pPr>
    </w:p>
    <w:p w14:paraId="79425FDC" w14:textId="2ABCD49C" w:rsidR="001B1060" w:rsidRDefault="00DE1017" w:rsidP="001B1060">
      <w:pPr>
        <w:overflowPunct/>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B</w:t>
      </w:r>
      <w:r w:rsidR="00205931" w:rsidRPr="00205931">
        <w:rPr>
          <w:rFonts w:ascii="Arial" w:eastAsia="Calibri" w:hAnsi="Arial" w:cs="Arial"/>
          <w:sz w:val="24"/>
          <w:szCs w:val="24"/>
          <w:lang w:eastAsia="en-US"/>
        </w:rPr>
        <w:t xml:space="preserve">ei Berechnung auf der Grundlage der vom Berliner Gesetzgeber ermittelten Zahlen </w:t>
      </w:r>
      <w:r w:rsidR="00221B6F">
        <w:rPr>
          <w:rFonts w:ascii="Arial" w:eastAsia="Calibri" w:hAnsi="Arial" w:cs="Arial"/>
          <w:sz w:val="24"/>
          <w:szCs w:val="24"/>
          <w:lang w:eastAsia="en-US"/>
        </w:rPr>
        <w:t xml:space="preserve">zu den Leistungen für Bildung und Teilhabe sowie von sozialen Vergünstigungen </w:t>
      </w:r>
      <w:r w:rsidR="008F4536">
        <w:rPr>
          <w:rFonts w:ascii="Arial" w:eastAsia="Calibri" w:hAnsi="Arial" w:cs="Arial"/>
          <w:sz w:val="24"/>
          <w:szCs w:val="24"/>
          <w:lang w:eastAsia="en-US"/>
        </w:rPr>
        <w:t>blieb d</w:t>
      </w:r>
      <w:r w:rsidR="008F4536" w:rsidRPr="005F29A4">
        <w:rPr>
          <w:rFonts w:ascii="Arial" w:eastAsia="Calibri" w:hAnsi="Arial" w:cs="Arial"/>
          <w:sz w:val="24"/>
          <w:szCs w:val="24"/>
          <w:lang w:eastAsia="en-US"/>
        </w:rPr>
        <w:t xml:space="preserve">ie Nettoalimentation </w:t>
      </w:r>
      <w:r w:rsidR="007021E0">
        <w:rPr>
          <w:rFonts w:ascii="Arial" w:eastAsia="Calibri" w:hAnsi="Arial" w:cs="Arial"/>
          <w:sz w:val="24"/>
          <w:szCs w:val="24"/>
          <w:lang w:eastAsia="en-US"/>
        </w:rPr>
        <w:t>zwischen 24</w:t>
      </w:r>
      <w:r w:rsidR="00221B6F">
        <w:rPr>
          <w:rFonts w:ascii="Arial" w:eastAsia="Calibri" w:hAnsi="Arial" w:cs="Arial"/>
          <w:sz w:val="24"/>
          <w:szCs w:val="24"/>
          <w:lang w:eastAsia="en-US"/>
        </w:rPr>
        <w:t> %</w:t>
      </w:r>
      <w:r w:rsidR="007021E0">
        <w:rPr>
          <w:rFonts w:ascii="Arial" w:eastAsia="Calibri" w:hAnsi="Arial" w:cs="Arial"/>
          <w:sz w:val="24"/>
          <w:szCs w:val="24"/>
          <w:lang w:eastAsia="en-US"/>
        </w:rPr>
        <w:t xml:space="preserve"> und 30 %</w:t>
      </w:r>
      <w:r w:rsidR="008F4536">
        <w:rPr>
          <w:rFonts w:ascii="Arial" w:eastAsia="Calibri" w:hAnsi="Arial" w:cs="Arial"/>
          <w:sz w:val="24"/>
          <w:szCs w:val="24"/>
          <w:lang w:eastAsia="en-US"/>
        </w:rPr>
        <w:t xml:space="preserve"> </w:t>
      </w:r>
      <w:r w:rsidR="001B1060" w:rsidRPr="00662A8E">
        <w:rPr>
          <w:rFonts w:ascii="Arial" w:eastAsia="Calibri" w:hAnsi="Arial" w:cs="Arial"/>
          <w:sz w:val="24"/>
          <w:szCs w:val="24"/>
          <w:lang w:eastAsia="en-US"/>
        </w:rPr>
        <w:t>hinter der aus dem Grundsicherungsniveau abgeleiteten Mindestalimentation zurück:</w:t>
      </w:r>
      <w:r w:rsidR="001B1060">
        <w:rPr>
          <w:rFonts w:ascii="Arial" w:eastAsia="Calibri" w:hAnsi="Arial" w:cs="Arial"/>
          <w:sz w:val="24"/>
          <w:szCs w:val="24"/>
          <w:lang w:eastAsia="en-US"/>
        </w:rPr>
        <w:t xml:space="preserve"> </w:t>
      </w:r>
    </w:p>
    <w:p w14:paraId="6441CA35" w14:textId="77777777" w:rsidR="00205931" w:rsidRDefault="00205931" w:rsidP="00C0399E">
      <w:pPr>
        <w:overflowPunct/>
        <w:spacing w:line="276" w:lineRule="auto"/>
        <w:textAlignment w:val="auto"/>
        <w:rPr>
          <w:rFonts w:ascii="Arial" w:eastAsia="Calibri" w:hAnsi="Arial" w:cs="Arial"/>
          <w:sz w:val="24"/>
          <w:szCs w:val="24"/>
          <w:lang w:eastAsia="en-US"/>
        </w:rPr>
      </w:pPr>
    </w:p>
    <w:tbl>
      <w:tblPr>
        <w:tblW w:w="10100" w:type="dxa"/>
        <w:tblCellMar>
          <w:left w:w="70" w:type="dxa"/>
          <w:right w:w="70" w:type="dxa"/>
        </w:tblCellMar>
        <w:tblLook w:val="04A0" w:firstRow="1" w:lastRow="0" w:firstColumn="1" w:lastColumn="0" w:noHBand="0" w:noVBand="1"/>
      </w:tblPr>
      <w:tblGrid>
        <w:gridCol w:w="3320"/>
        <w:gridCol w:w="1340"/>
        <w:gridCol w:w="1360"/>
        <w:gridCol w:w="1360"/>
        <w:gridCol w:w="1360"/>
        <w:gridCol w:w="1360"/>
      </w:tblGrid>
      <w:tr w:rsidR="007021E0" w:rsidRPr="007021E0" w14:paraId="3D52C96C" w14:textId="77777777" w:rsidTr="008C3FFB">
        <w:trPr>
          <w:trHeight w:val="312"/>
        </w:trPr>
        <w:tc>
          <w:tcPr>
            <w:tcW w:w="3320" w:type="dxa"/>
            <w:tcBorders>
              <w:top w:val="double" w:sz="6" w:space="0" w:color="auto"/>
              <w:left w:val="double" w:sz="6" w:space="0" w:color="auto"/>
              <w:bottom w:val="single" w:sz="8" w:space="0" w:color="auto"/>
              <w:right w:val="single" w:sz="4" w:space="0" w:color="auto"/>
            </w:tcBorders>
            <w:shd w:val="clear" w:color="000000" w:fill="FFFFFF"/>
            <w:noWrap/>
            <w:vAlign w:val="bottom"/>
            <w:hideMark/>
          </w:tcPr>
          <w:p w14:paraId="0F561BA3" w14:textId="77777777" w:rsidR="007021E0" w:rsidRPr="007021E0" w:rsidRDefault="007021E0" w:rsidP="007021E0">
            <w:pPr>
              <w:overflowPunct/>
              <w:autoSpaceDE/>
              <w:autoSpaceDN/>
              <w:adjustRightInd/>
              <w:textAlignment w:val="auto"/>
              <w:rPr>
                <w:rFonts w:ascii="Arial" w:hAnsi="Arial" w:cs="Arial"/>
                <w:b/>
                <w:bCs/>
                <w:color w:val="000000"/>
              </w:rPr>
            </w:pPr>
            <w:r w:rsidRPr="007021E0">
              <w:rPr>
                <w:rFonts w:ascii="Arial" w:hAnsi="Arial" w:cs="Arial"/>
                <w:b/>
                <w:bCs/>
                <w:color w:val="000000"/>
              </w:rPr>
              <w:t> </w:t>
            </w:r>
          </w:p>
        </w:tc>
        <w:tc>
          <w:tcPr>
            <w:tcW w:w="1340" w:type="dxa"/>
            <w:tcBorders>
              <w:top w:val="double" w:sz="6" w:space="0" w:color="auto"/>
              <w:left w:val="nil"/>
              <w:bottom w:val="single" w:sz="8" w:space="0" w:color="auto"/>
              <w:right w:val="single" w:sz="4" w:space="0" w:color="auto"/>
            </w:tcBorders>
            <w:shd w:val="clear" w:color="000000" w:fill="FFFFFF"/>
            <w:noWrap/>
            <w:vAlign w:val="bottom"/>
            <w:hideMark/>
          </w:tcPr>
          <w:p w14:paraId="756EF861" w14:textId="77777777" w:rsidR="007021E0" w:rsidRPr="007021E0" w:rsidRDefault="007021E0" w:rsidP="007021E0">
            <w:pPr>
              <w:overflowPunct/>
              <w:autoSpaceDE/>
              <w:autoSpaceDN/>
              <w:adjustRightInd/>
              <w:jc w:val="center"/>
              <w:textAlignment w:val="auto"/>
              <w:rPr>
                <w:rFonts w:ascii="Arial" w:hAnsi="Arial" w:cs="Arial"/>
                <w:b/>
                <w:bCs/>
                <w:color w:val="000000"/>
              </w:rPr>
            </w:pPr>
            <w:r w:rsidRPr="007021E0">
              <w:rPr>
                <w:rFonts w:ascii="Arial" w:hAnsi="Arial" w:cs="Arial"/>
                <w:b/>
                <w:bCs/>
                <w:color w:val="000000"/>
              </w:rPr>
              <w:t>2016</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3D3B9BF9" w14:textId="77777777" w:rsidR="007021E0" w:rsidRPr="007021E0" w:rsidRDefault="007021E0" w:rsidP="007021E0">
            <w:pPr>
              <w:overflowPunct/>
              <w:autoSpaceDE/>
              <w:autoSpaceDN/>
              <w:adjustRightInd/>
              <w:jc w:val="center"/>
              <w:textAlignment w:val="auto"/>
              <w:rPr>
                <w:rFonts w:ascii="Arial" w:hAnsi="Arial" w:cs="Arial"/>
                <w:b/>
                <w:bCs/>
                <w:color w:val="000000"/>
              </w:rPr>
            </w:pPr>
            <w:r w:rsidRPr="007021E0">
              <w:rPr>
                <w:rFonts w:ascii="Arial" w:hAnsi="Arial" w:cs="Arial"/>
                <w:b/>
                <w:bCs/>
                <w:color w:val="000000"/>
              </w:rPr>
              <w:t>2017</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32DB6750" w14:textId="77777777" w:rsidR="007021E0" w:rsidRPr="007021E0" w:rsidRDefault="007021E0" w:rsidP="007021E0">
            <w:pPr>
              <w:overflowPunct/>
              <w:autoSpaceDE/>
              <w:autoSpaceDN/>
              <w:adjustRightInd/>
              <w:jc w:val="center"/>
              <w:textAlignment w:val="auto"/>
              <w:rPr>
                <w:rFonts w:ascii="Arial" w:hAnsi="Arial" w:cs="Arial"/>
                <w:b/>
                <w:bCs/>
                <w:color w:val="000000"/>
              </w:rPr>
            </w:pPr>
            <w:r w:rsidRPr="007021E0">
              <w:rPr>
                <w:rFonts w:ascii="Arial" w:hAnsi="Arial" w:cs="Arial"/>
                <w:b/>
                <w:bCs/>
                <w:color w:val="000000"/>
              </w:rPr>
              <w:t>2018</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26174952" w14:textId="77777777" w:rsidR="007021E0" w:rsidRPr="007021E0" w:rsidRDefault="007021E0" w:rsidP="007021E0">
            <w:pPr>
              <w:overflowPunct/>
              <w:autoSpaceDE/>
              <w:autoSpaceDN/>
              <w:adjustRightInd/>
              <w:jc w:val="center"/>
              <w:textAlignment w:val="auto"/>
              <w:rPr>
                <w:rFonts w:ascii="Arial" w:hAnsi="Arial" w:cs="Arial"/>
                <w:b/>
                <w:bCs/>
                <w:color w:val="000000"/>
              </w:rPr>
            </w:pPr>
            <w:r w:rsidRPr="007021E0">
              <w:rPr>
                <w:rFonts w:ascii="Arial" w:hAnsi="Arial" w:cs="Arial"/>
                <w:b/>
                <w:bCs/>
                <w:color w:val="000000"/>
              </w:rPr>
              <w:t>2019</w:t>
            </w:r>
          </w:p>
        </w:tc>
        <w:tc>
          <w:tcPr>
            <w:tcW w:w="1360" w:type="dxa"/>
            <w:tcBorders>
              <w:top w:val="double" w:sz="6" w:space="0" w:color="auto"/>
              <w:left w:val="nil"/>
              <w:bottom w:val="single" w:sz="8" w:space="0" w:color="auto"/>
              <w:right w:val="double" w:sz="6" w:space="0" w:color="auto"/>
            </w:tcBorders>
            <w:shd w:val="clear" w:color="000000" w:fill="FFFFFF"/>
            <w:noWrap/>
            <w:vAlign w:val="bottom"/>
            <w:hideMark/>
          </w:tcPr>
          <w:p w14:paraId="66649FC9" w14:textId="77777777" w:rsidR="007021E0" w:rsidRPr="007021E0" w:rsidRDefault="007021E0" w:rsidP="007021E0">
            <w:pPr>
              <w:overflowPunct/>
              <w:autoSpaceDE/>
              <w:autoSpaceDN/>
              <w:adjustRightInd/>
              <w:jc w:val="center"/>
              <w:textAlignment w:val="auto"/>
              <w:rPr>
                <w:rFonts w:ascii="Arial" w:hAnsi="Arial" w:cs="Arial"/>
                <w:b/>
                <w:bCs/>
                <w:color w:val="000000"/>
              </w:rPr>
            </w:pPr>
            <w:r w:rsidRPr="007021E0">
              <w:rPr>
                <w:rFonts w:ascii="Arial" w:hAnsi="Arial" w:cs="Arial"/>
                <w:b/>
                <w:bCs/>
                <w:color w:val="000000"/>
              </w:rPr>
              <w:t>2020</w:t>
            </w:r>
          </w:p>
        </w:tc>
      </w:tr>
      <w:tr w:rsidR="007021E0" w:rsidRPr="007021E0" w14:paraId="29140DBD" w14:textId="77777777" w:rsidTr="008C3FFB">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2C060130" w14:textId="77777777" w:rsidR="007021E0" w:rsidRPr="007021E0" w:rsidRDefault="007021E0" w:rsidP="007021E0">
            <w:pPr>
              <w:overflowPunct/>
              <w:autoSpaceDE/>
              <w:autoSpaceDN/>
              <w:adjustRightInd/>
              <w:textAlignment w:val="auto"/>
              <w:rPr>
                <w:rFonts w:ascii="Arial" w:hAnsi="Arial" w:cs="Arial"/>
                <w:b/>
                <w:bCs/>
              </w:rPr>
            </w:pPr>
            <w:r w:rsidRPr="007021E0">
              <w:rPr>
                <w:rFonts w:ascii="Arial" w:hAnsi="Arial" w:cs="Arial"/>
                <w:b/>
                <w:bCs/>
              </w:rPr>
              <w:t>Grundsicherungsbedarf /Jahr</w:t>
            </w:r>
          </w:p>
        </w:tc>
        <w:tc>
          <w:tcPr>
            <w:tcW w:w="1340" w:type="dxa"/>
            <w:tcBorders>
              <w:top w:val="nil"/>
              <w:left w:val="nil"/>
              <w:bottom w:val="nil"/>
              <w:right w:val="single" w:sz="4" w:space="0" w:color="auto"/>
            </w:tcBorders>
            <w:shd w:val="clear" w:color="auto" w:fill="auto"/>
            <w:noWrap/>
            <w:vAlign w:val="bottom"/>
            <w:hideMark/>
          </w:tcPr>
          <w:p w14:paraId="7D6856D1"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30.939,36 €</w:t>
            </w:r>
          </w:p>
        </w:tc>
        <w:tc>
          <w:tcPr>
            <w:tcW w:w="1360" w:type="dxa"/>
            <w:tcBorders>
              <w:top w:val="nil"/>
              <w:left w:val="nil"/>
              <w:bottom w:val="nil"/>
              <w:right w:val="single" w:sz="4" w:space="0" w:color="auto"/>
            </w:tcBorders>
            <w:shd w:val="clear" w:color="auto" w:fill="auto"/>
            <w:noWrap/>
            <w:vAlign w:val="bottom"/>
            <w:hideMark/>
          </w:tcPr>
          <w:p w14:paraId="26D77B99"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31.903,29 €</w:t>
            </w:r>
          </w:p>
        </w:tc>
        <w:tc>
          <w:tcPr>
            <w:tcW w:w="1360" w:type="dxa"/>
            <w:tcBorders>
              <w:top w:val="nil"/>
              <w:left w:val="nil"/>
              <w:bottom w:val="nil"/>
              <w:right w:val="single" w:sz="4" w:space="0" w:color="auto"/>
            </w:tcBorders>
            <w:shd w:val="clear" w:color="auto" w:fill="auto"/>
            <w:noWrap/>
            <w:vAlign w:val="bottom"/>
            <w:hideMark/>
          </w:tcPr>
          <w:p w14:paraId="33AD772C"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32.768,95 €</w:t>
            </w:r>
          </w:p>
        </w:tc>
        <w:tc>
          <w:tcPr>
            <w:tcW w:w="1360" w:type="dxa"/>
            <w:tcBorders>
              <w:top w:val="nil"/>
              <w:left w:val="nil"/>
              <w:bottom w:val="nil"/>
              <w:right w:val="single" w:sz="4" w:space="0" w:color="auto"/>
            </w:tcBorders>
            <w:shd w:val="clear" w:color="auto" w:fill="auto"/>
            <w:noWrap/>
            <w:vAlign w:val="bottom"/>
            <w:hideMark/>
          </w:tcPr>
          <w:p w14:paraId="20C19D9D"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33.698,39 €</w:t>
            </w:r>
          </w:p>
        </w:tc>
        <w:tc>
          <w:tcPr>
            <w:tcW w:w="1360" w:type="dxa"/>
            <w:tcBorders>
              <w:top w:val="single" w:sz="8" w:space="0" w:color="auto"/>
              <w:left w:val="nil"/>
              <w:bottom w:val="nil"/>
              <w:right w:val="double" w:sz="4" w:space="0" w:color="auto"/>
            </w:tcBorders>
            <w:shd w:val="clear" w:color="auto" w:fill="auto"/>
            <w:noWrap/>
            <w:vAlign w:val="bottom"/>
            <w:hideMark/>
          </w:tcPr>
          <w:p w14:paraId="3EC86694"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34.211,12 €</w:t>
            </w:r>
          </w:p>
        </w:tc>
      </w:tr>
      <w:tr w:rsidR="007021E0" w:rsidRPr="007021E0" w14:paraId="3AEECA4B" w14:textId="77777777" w:rsidTr="008C3FFB">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015FDA90" w14:textId="77777777" w:rsidR="007021E0" w:rsidRPr="007021E0" w:rsidRDefault="007021E0" w:rsidP="007021E0">
            <w:pPr>
              <w:overflowPunct/>
              <w:autoSpaceDE/>
              <w:autoSpaceDN/>
              <w:adjustRightInd/>
              <w:textAlignment w:val="auto"/>
              <w:rPr>
                <w:rFonts w:ascii="Arial" w:hAnsi="Arial" w:cs="Arial"/>
                <w:b/>
                <w:bCs/>
              </w:rPr>
            </w:pPr>
            <w:r w:rsidRPr="007021E0">
              <w:rPr>
                <w:rFonts w:ascii="Arial" w:hAnsi="Arial" w:cs="Arial"/>
                <w:b/>
                <w:bCs/>
              </w:rPr>
              <w:t>Mindestalimentation (115%)/Jahr</w:t>
            </w:r>
          </w:p>
        </w:tc>
        <w:tc>
          <w:tcPr>
            <w:tcW w:w="1340" w:type="dxa"/>
            <w:tcBorders>
              <w:top w:val="nil"/>
              <w:left w:val="nil"/>
              <w:bottom w:val="nil"/>
              <w:right w:val="single" w:sz="4" w:space="0" w:color="auto"/>
            </w:tcBorders>
            <w:shd w:val="clear" w:color="auto" w:fill="auto"/>
            <w:noWrap/>
            <w:vAlign w:val="bottom"/>
            <w:hideMark/>
          </w:tcPr>
          <w:p w14:paraId="5550840D"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35.580,26 €</w:t>
            </w:r>
          </w:p>
        </w:tc>
        <w:tc>
          <w:tcPr>
            <w:tcW w:w="1360" w:type="dxa"/>
            <w:tcBorders>
              <w:top w:val="nil"/>
              <w:left w:val="nil"/>
              <w:bottom w:val="nil"/>
              <w:right w:val="single" w:sz="4" w:space="0" w:color="auto"/>
            </w:tcBorders>
            <w:shd w:val="clear" w:color="auto" w:fill="auto"/>
            <w:noWrap/>
            <w:vAlign w:val="bottom"/>
            <w:hideMark/>
          </w:tcPr>
          <w:p w14:paraId="0CE6DA57"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36.688,78 €</w:t>
            </w:r>
          </w:p>
        </w:tc>
        <w:tc>
          <w:tcPr>
            <w:tcW w:w="1360" w:type="dxa"/>
            <w:tcBorders>
              <w:top w:val="nil"/>
              <w:left w:val="nil"/>
              <w:bottom w:val="nil"/>
              <w:right w:val="single" w:sz="4" w:space="0" w:color="auto"/>
            </w:tcBorders>
            <w:shd w:val="clear" w:color="auto" w:fill="auto"/>
            <w:noWrap/>
            <w:vAlign w:val="bottom"/>
            <w:hideMark/>
          </w:tcPr>
          <w:p w14:paraId="0F5304F7"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37.684,29 €</w:t>
            </w:r>
          </w:p>
        </w:tc>
        <w:tc>
          <w:tcPr>
            <w:tcW w:w="1360" w:type="dxa"/>
            <w:tcBorders>
              <w:top w:val="nil"/>
              <w:left w:val="nil"/>
              <w:bottom w:val="nil"/>
              <w:right w:val="single" w:sz="4" w:space="0" w:color="auto"/>
            </w:tcBorders>
            <w:shd w:val="clear" w:color="auto" w:fill="auto"/>
            <w:noWrap/>
            <w:vAlign w:val="bottom"/>
            <w:hideMark/>
          </w:tcPr>
          <w:p w14:paraId="7EF22489"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38.753,15 €</w:t>
            </w:r>
          </w:p>
        </w:tc>
        <w:tc>
          <w:tcPr>
            <w:tcW w:w="1360" w:type="dxa"/>
            <w:tcBorders>
              <w:top w:val="nil"/>
              <w:left w:val="nil"/>
              <w:bottom w:val="nil"/>
              <w:right w:val="double" w:sz="4" w:space="0" w:color="auto"/>
            </w:tcBorders>
            <w:shd w:val="clear" w:color="auto" w:fill="auto"/>
            <w:noWrap/>
            <w:vAlign w:val="bottom"/>
            <w:hideMark/>
          </w:tcPr>
          <w:p w14:paraId="2A708D70"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39.342,79 €</w:t>
            </w:r>
          </w:p>
        </w:tc>
      </w:tr>
      <w:tr w:rsidR="007021E0" w:rsidRPr="007021E0" w14:paraId="5E525389" w14:textId="77777777" w:rsidTr="008C3FFB">
        <w:trPr>
          <w:trHeight w:val="300"/>
        </w:trPr>
        <w:tc>
          <w:tcPr>
            <w:tcW w:w="3320" w:type="dxa"/>
            <w:tcBorders>
              <w:top w:val="nil"/>
              <w:left w:val="double" w:sz="6" w:space="0" w:color="auto"/>
              <w:bottom w:val="nil"/>
              <w:right w:val="single" w:sz="4" w:space="0" w:color="auto"/>
            </w:tcBorders>
            <w:shd w:val="clear" w:color="000000" w:fill="D9D9D9"/>
            <w:noWrap/>
            <w:vAlign w:val="bottom"/>
            <w:hideMark/>
          </w:tcPr>
          <w:p w14:paraId="75D37975" w14:textId="77777777" w:rsidR="007021E0" w:rsidRPr="007021E0" w:rsidRDefault="007021E0" w:rsidP="007021E0">
            <w:pPr>
              <w:overflowPunct/>
              <w:autoSpaceDE/>
              <w:autoSpaceDN/>
              <w:adjustRightInd/>
              <w:textAlignment w:val="auto"/>
              <w:rPr>
                <w:rFonts w:ascii="Arial" w:hAnsi="Arial" w:cs="Arial"/>
                <w:b/>
                <w:bCs/>
              </w:rPr>
            </w:pPr>
            <w:r w:rsidRPr="007021E0">
              <w:rPr>
                <w:rFonts w:ascii="Arial" w:hAnsi="Arial" w:cs="Arial"/>
                <w:b/>
                <w:bCs/>
              </w:rPr>
              <w:t>Nettoalimentation A4 /Jahr</w:t>
            </w:r>
          </w:p>
        </w:tc>
        <w:tc>
          <w:tcPr>
            <w:tcW w:w="1340" w:type="dxa"/>
            <w:tcBorders>
              <w:top w:val="nil"/>
              <w:left w:val="nil"/>
              <w:bottom w:val="nil"/>
              <w:right w:val="single" w:sz="4" w:space="0" w:color="auto"/>
            </w:tcBorders>
            <w:shd w:val="clear" w:color="auto" w:fill="auto"/>
            <w:noWrap/>
            <w:vAlign w:val="bottom"/>
            <w:hideMark/>
          </w:tcPr>
          <w:p w14:paraId="4CE77204"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24.987,07 €</w:t>
            </w:r>
          </w:p>
        </w:tc>
        <w:tc>
          <w:tcPr>
            <w:tcW w:w="1360" w:type="dxa"/>
            <w:tcBorders>
              <w:top w:val="nil"/>
              <w:left w:val="nil"/>
              <w:bottom w:val="nil"/>
              <w:right w:val="single" w:sz="4" w:space="0" w:color="auto"/>
            </w:tcBorders>
            <w:shd w:val="clear" w:color="auto" w:fill="auto"/>
            <w:noWrap/>
            <w:vAlign w:val="bottom"/>
            <w:hideMark/>
          </w:tcPr>
          <w:p w14:paraId="660DEEAC"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25.815,25 €</w:t>
            </w:r>
          </w:p>
        </w:tc>
        <w:tc>
          <w:tcPr>
            <w:tcW w:w="1360" w:type="dxa"/>
            <w:tcBorders>
              <w:top w:val="nil"/>
              <w:left w:val="nil"/>
              <w:bottom w:val="nil"/>
              <w:right w:val="single" w:sz="4" w:space="0" w:color="auto"/>
            </w:tcBorders>
            <w:shd w:val="clear" w:color="auto" w:fill="auto"/>
            <w:noWrap/>
            <w:vAlign w:val="bottom"/>
            <w:hideMark/>
          </w:tcPr>
          <w:p w14:paraId="3F8A39EA"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27.234,90 €</w:t>
            </w:r>
          </w:p>
        </w:tc>
        <w:tc>
          <w:tcPr>
            <w:tcW w:w="1360" w:type="dxa"/>
            <w:tcBorders>
              <w:top w:val="nil"/>
              <w:left w:val="nil"/>
              <w:bottom w:val="nil"/>
              <w:right w:val="single" w:sz="4" w:space="0" w:color="auto"/>
            </w:tcBorders>
            <w:shd w:val="clear" w:color="auto" w:fill="auto"/>
            <w:noWrap/>
            <w:vAlign w:val="bottom"/>
            <w:hideMark/>
          </w:tcPr>
          <w:p w14:paraId="34DCA265"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28.220,83 €</w:t>
            </w:r>
          </w:p>
        </w:tc>
        <w:tc>
          <w:tcPr>
            <w:tcW w:w="1360" w:type="dxa"/>
            <w:tcBorders>
              <w:top w:val="nil"/>
              <w:left w:val="nil"/>
              <w:bottom w:val="single" w:sz="8" w:space="0" w:color="auto"/>
              <w:right w:val="double" w:sz="4" w:space="0" w:color="auto"/>
            </w:tcBorders>
            <w:shd w:val="clear" w:color="auto" w:fill="auto"/>
            <w:noWrap/>
            <w:vAlign w:val="bottom"/>
            <w:hideMark/>
          </w:tcPr>
          <w:p w14:paraId="0F4ED51C"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29.749,28 €</w:t>
            </w:r>
          </w:p>
        </w:tc>
      </w:tr>
      <w:tr w:rsidR="007021E0" w:rsidRPr="007021E0" w14:paraId="520561DF" w14:textId="77777777" w:rsidTr="008C3FFB">
        <w:trPr>
          <w:trHeight w:val="288"/>
        </w:trPr>
        <w:tc>
          <w:tcPr>
            <w:tcW w:w="3320" w:type="dxa"/>
            <w:vMerge w:val="restart"/>
            <w:tcBorders>
              <w:top w:val="single" w:sz="8" w:space="0" w:color="auto"/>
              <w:left w:val="double" w:sz="6" w:space="0" w:color="auto"/>
              <w:bottom w:val="double" w:sz="6" w:space="0" w:color="000000"/>
              <w:right w:val="single" w:sz="4" w:space="0" w:color="auto"/>
            </w:tcBorders>
            <w:shd w:val="clear" w:color="000000" w:fill="D9D9D9"/>
            <w:hideMark/>
          </w:tcPr>
          <w:p w14:paraId="175B89BC" w14:textId="77777777" w:rsidR="007021E0" w:rsidRPr="007021E0" w:rsidRDefault="007021E0" w:rsidP="007021E0">
            <w:pPr>
              <w:overflowPunct/>
              <w:autoSpaceDE/>
              <w:autoSpaceDN/>
              <w:adjustRightInd/>
              <w:textAlignment w:val="auto"/>
              <w:rPr>
                <w:rFonts w:ascii="Arial" w:hAnsi="Arial" w:cs="Arial"/>
                <w:b/>
                <w:bCs/>
              </w:rPr>
            </w:pPr>
            <w:r w:rsidRPr="007021E0">
              <w:rPr>
                <w:rFonts w:ascii="Arial" w:hAnsi="Arial" w:cs="Arial"/>
                <w:b/>
                <w:bCs/>
              </w:rPr>
              <w:t>Fehlbetrag absolut und in % der Mindestalimentation</w:t>
            </w:r>
          </w:p>
        </w:tc>
        <w:tc>
          <w:tcPr>
            <w:tcW w:w="1340" w:type="dxa"/>
            <w:tcBorders>
              <w:top w:val="single" w:sz="8" w:space="0" w:color="auto"/>
              <w:left w:val="nil"/>
              <w:bottom w:val="nil"/>
              <w:right w:val="single" w:sz="4" w:space="0" w:color="auto"/>
            </w:tcBorders>
            <w:shd w:val="clear" w:color="auto" w:fill="auto"/>
            <w:noWrap/>
            <w:vAlign w:val="bottom"/>
            <w:hideMark/>
          </w:tcPr>
          <w:p w14:paraId="2DBFB868"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-10.593,19 €</w:t>
            </w:r>
          </w:p>
        </w:tc>
        <w:tc>
          <w:tcPr>
            <w:tcW w:w="1360" w:type="dxa"/>
            <w:tcBorders>
              <w:top w:val="single" w:sz="8" w:space="0" w:color="auto"/>
              <w:left w:val="nil"/>
              <w:bottom w:val="nil"/>
              <w:right w:val="single" w:sz="4" w:space="0" w:color="auto"/>
            </w:tcBorders>
            <w:shd w:val="clear" w:color="auto" w:fill="auto"/>
            <w:noWrap/>
            <w:vAlign w:val="bottom"/>
            <w:hideMark/>
          </w:tcPr>
          <w:p w14:paraId="2F122FB8"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-10.873,53 €</w:t>
            </w:r>
          </w:p>
        </w:tc>
        <w:tc>
          <w:tcPr>
            <w:tcW w:w="1360" w:type="dxa"/>
            <w:tcBorders>
              <w:top w:val="single" w:sz="8" w:space="0" w:color="auto"/>
              <w:left w:val="nil"/>
              <w:bottom w:val="nil"/>
              <w:right w:val="single" w:sz="4" w:space="0" w:color="auto"/>
            </w:tcBorders>
            <w:shd w:val="clear" w:color="auto" w:fill="auto"/>
            <w:noWrap/>
            <w:vAlign w:val="bottom"/>
            <w:hideMark/>
          </w:tcPr>
          <w:p w14:paraId="67BD79B0"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-10.449,39 €</w:t>
            </w:r>
          </w:p>
        </w:tc>
        <w:tc>
          <w:tcPr>
            <w:tcW w:w="1360" w:type="dxa"/>
            <w:tcBorders>
              <w:top w:val="single" w:sz="8" w:space="0" w:color="auto"/>
              <w:left w:val="nil"/>
              <w:bottom w:val="nil"/>
              <w:right w:val="single" w:sz="4" w:space="0" w:color="auto"/>
            </w:tcBorders>
            <w:shd w:val="clear" w:color="auto" w:fill="auto"/>
            <w:noWrap/>
            <w:vAlign w:val="bottom"/>
            <w:hideMark/>
          </w:tcPr>
          <w:p w14:paraId="6AF23897"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-10.532,32 €</w:t>
            </w:r>
          </w:p>
        </w:tc>
        <w:tc>
          <w:tcPr>
            <w:tcW w:w="1360" w:type="dxa"/>
            <w:tcBorders>
              <w:top w:val="single" w:sz="8" w:space="0" w:color="auto"/>
              <w:left w:val="nil"/>
              <w:bottom w:val="nil"/>
              <w:right w:val="double" w:sz="6" w:space="0" w:color="auto"/>
            </w:tcBorders>
            <w:shd w:val="clear" w:color="auto" w:fill="auto"/>
            <w:noWrap/>
            <w:vAlign w:val="bottom"/>
            <w:hideMark/>
          </w:tcPr>
          <w:p w14:paraId="6971E905" w14:textId="77777777"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-9.593,51 €</w:t>
            </w:r>
          </w:p>
        </w:tc>
      </w:tr>
      <w:tr w:rsidR="007021E0" w:rsidRPr="007021E0" w14:paraId="3D7BA30C" w14:textId="77777777" w:rsidTr="007021E0">
        <w:trPr>
          <w:trHeight w:val="300"/>
        </w:trPr>
        <w:tc>
          <w:tcPr>
            <w:tcW w:w="3320" w:type="dxa"/>
            <w:vMerge/>
            <w:tcBorders>
              <w:top w:val="single" w:sz="8" w:space="0" w:color="auto"/>
              <w:left w:val="double" w:sz="6" w:space="0" w:color="auto"/>
              <w:bottom w:val="double" w:sz="6" w:space="0" w:color="000000"/>
              <w:right w:val="single" w:sz="4" w:space="0" w:color="auto"/>
            </w:tcBorders>
            <w:vAlign w:val="center"/>
            <w:hideMark/>
          </w:tcPr>
          <w:p w14:paraId="338887EC" w14:textId="77777777" w:rsidR="007021E0" w:rsidRPr="007021E0" w:rsidRDefault="007021E0" w:rsidP="007021E0">
            <w:pPr>
              <w:overflowPunct/>
              <w:autoSpaceDE/>
              <w:autoSpaceDN/>
              <w:adjustRightInd/>
              <w:textAlignment w:val="auto"/>
              <w:rPr>
                <w:rFonts w:ascii="Arial" w:hAnsi="Arial" w:cs="Arial"/>
              </w:rPr>
            </w:pPr>
          </w:p>
        </w:tc>
        <w:tc>
          <w:tcPr>
            <w:tcW w:w="1340" w:type="dxa"/>
            <w:tcBorders>
              <w:top w:val="nil"/>
              <w:left w:val="nil"/>
              <w:bottom w:val="double" w:sz="6" w:space="0" w:color="auto"/>
              <w:right w:val="single" w:sz="4" w:space="0" w:color="auto"/>
            </w:tcBorders>
            <w:shd w:val="clear" w:color="auto" w:fill="auto"/>
            <w:noWrap/>
            <w:vAlign w:val="center"/>
            <w:hideMark/>
          </w:tcPr>
          <w:p w14:paraId="17D32F65" w14:textId="1816CFF8"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-30</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1BCDF42F" w14:textId="33961528"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-30</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471D7548" w14:textId="513E2853"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-28</w:t>
            </w:r>
            <w:r w:rsidR="00221B6F">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50292C90" w14:textId="04E98900"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-27</w:t>
            </w:r>
            <w:r w:rsidR="00221B6F">
              <w:rPr>
                <w:rFonts w:ascii="Arial" w:hAnsi="Arial" w:cs="Arial"/>
                <w:color w:val="000000"/>
              </w:rPr>
              <w:t xml:space="preserve"> %</w:t>
            </w:r>
          </w:p>
        </w:tc>
        <w:tc>
          <w:tcPr>
            <w:tcW w:w="1360" w:type="dxa"/>
            <w:tcBorders>
              <w:top w:val="nil"/>
              <w:left w:val="nil"/>
              <w:bottom w:val="double" w:sz="6" w:space="0" w:color="auto"/>
              <w:right w:val="double" w:sz="6" w:space="0" w:color="auto"/>
            </w:tcBorders>
            <w:shd w:val="clear" w:color="auto" w:fill="auto"/>
            <w:noWrap/>
            <w:vAlign w:val="center"/>
            <w:hideMark/>
          </w:tcPr>
          <w:p w14:paraId="569F6F3F" w14:textId="3BEF9916" w:rsidR="007021E0" w:rsidRPr="007021E0" w:rsidRDefault="007021E0" w:rsidP="007021E0">
            <w:pPr>
              <w:overflowPunct/>
              <w:autoSpaceDE/>
              <w:autoSpaceDN/>
              <w:adjustRightInd/>
              <w:jc w:val="right"/>
              <w:textAlignment w:val="auto"/>
              <w:rPr>
                <w:rFonts w:ascii="Arial" w:hAnsi="Arial" w:cs="Arial"/>
                <w:color w:val="000000"/>
              </w:rPr>
            </w:pPr>
            <w:r w:rsidRPr="007021E0">
              <w:rPr>
                <w:rFonts w:ascii="Arial" w:hAnsi="Arial" w:cs="Arial"/>
                <w:color w:val="000000"/>
              </w:rPr>
              <w:t>-24</w:t>
            </w:r>
            <w:r w:rsidR="00221B6F">
              <w:rPr>
                <w:rFonts w:ascii="Arial" w:hAnsi="Arial" w:cs="Arial"/>
                <w:color w:val="000000"/>
              </w:rPr>
              <w:t xml:space="preserve"> %</w:t>
            </w:r>
          </w:p>
        </w:tc>
      </w:tr>
    </w:tbl>
    <w:p w14:paraId="41DA2A99" w14:textId="77777777" w:rsidR="00287E06" w:rsidRDefault="00287E06" w:rsidP="00C0399E">
      <w:pPr>
        <w:overflowPunct/>
        <w:spacing w:line="276" w:lineRule="auto"/>
        <w:textAlignment w:val="auto"/>
        <w:rPr>
          <w:rFonts w:ascii="Arial" w:eastAsia="Calibri" w:hAnsi="Arial" w:cs="Arial"/>
          <w:sz w:val="24"/>
          <w:szCs w:val="24"/>
          <w:lang w:eastAsia="en-US"/>
        </w:rPr>
      </w:pPr>
    </w:p>
    <w:p w14:paraId="655B8E69" w14:textId="2B4F6F25" w:rsidR="005F29A4" w:rsidRPr="005F29A4" w:rsidRDefault="005F29A4" w:rsidP="00C0399E">
      <w:pPr>
        <w:overflowPunct/>
        <w:spacing w:line="276" w:lineRule="auto"/>
        <w:jc w:val="both"/>
        <w:textAlignment w:val="auto"/>
        <w:rPr>
          <w:rFonts w:ascii="Arial" w:eastAsia="Calibri" w:hAnsi="Arial" w:cs="Arial"/>
          <w:sz w:val="24"/>
          <w:szCs w:val="24"/>
          <w:lang w:eastAsia="en-US"/>
        </w:rPr>
      </w:pPr>
      <w:r w:rsidRPr="005F29A4">
        <w:rPr>
          <w:rFonts w:ascii="Arial" w:eastAsia="Calibri" w:hAnsi="Arial" w:cs="Arial"/>
          <w:sz w:val="24"/>
          <w:szCs w:val="24"/>
          <w:lang w:eastAsia="en-US"/>
        </w:rPr>
        <w:t xml:space="preserve">f) </w:t>
      </w:r>
      <w:r w:rsidR="00ED520D">
        <w:rPr>
          <w:rFonts w:ascii="Arial" w:eastAsia="Calibri" w:hAnsi="Arial" w:cs="Arial"/>
          <w:sz w:val="24"/>
          <w:szCs w:val="24"/>
          <w:lang w:eastAsia="en-US"/>
        </w:rPr>
        <w:t>E</w:t>
      </w:r>
      <w:r w:rsidRPr="005F29A4">
        <w:rPr>
          <w:rFonts w:ascii="Arial" w:eastAsia="Calibri" w:hAnsi="Arial" w:cs="Arial"/>
          <w:sz w:val="24"/>
          <w:szCs w:val="24"/>
          <w:lang w:eastAsia="en-US"/>
        </w:rPr>
        <w:t>in</w:t>
      </w:r>
      <w:r w:rsidR="00ED520D">
        <w:rPr>
          <w:rFonts w:ascii="Arial" w:eastAsia="Calibri" w:hAnsi="Arial" w:cs="Arial"/>
          <w:sz w:val="24"/>
          <w:szCs w:val="24"/>
          <w:lang w:eastAsia="en-US"/>
        </w:rPr>
        <w:t xml:space="preserve"> </w:t>
      </w:r>
      <w:r w:rsidR="00DB49D4">
        <w:rPr>
          <w:rFonts w:ascii="Arial" w:eastAsia="Calibri" w:hAnsi="Arial" w:cs="Arial"/>
          <w:sz w:val="24"/>
          <w:szCs w:val="24"/>
          <w:lang w:eastAsia="en-US"/>
        </w:rPr>
        <w:t>Überschreiten</w:t>
      </w:r>
      <w:r w:rsidR="00ED520D">
        <w:rPr>
          <w:rFonts w:ascii="Arial" w:eastAsia="Calibri" w:hAnsi="Arial" w:cs="Arial"/>
          <w:sz w:val="24"/>
          <w:szCs w:val="24"/>
          <w:lang w:eastAsia="en-US"/>
        </w:rPr>
        <w:t xml:space="preserve"> </w:t>
      </w:r>
      <w:r w:rsidR="00DB49D4">
        <w:rPr>
          <w:rFonts w:ascii="Arial" w:eastAsia="Calibri" w:hAnsi="Arial" w:cs="Arial"/>
          <w:sz w:val="24"/>
          <w:szCs w:val="24"/>
          <w:lang w:eastAsia="en-US"/>
        </w:rPr>
        <w:t xml:space="preserve">des Grenzwertes bei einem Quervergleich der Besoldung in Berlin </w:t>
      </w:r>
      <w:r w:rsidR="00347750" w:rsidRPr="005F29A4">
        <w:rPr>
          <w:rFonts w:ascii="Arial" w:eastAsia="Calibri" w:hAnsi="Arial" w:cs="Arial"/>
          <w:sz w:val="24"/>
          <w:szCs w:val="24"/>
          <w:lang w:eastAsia="en-US"/>
        </w:rPr>
        <w:t xml:space="preserve">mit den anderen Ländern und dem Bund </w:t>
      </w:r>
      <w:r w:rsidR="00DB49D4">
        <w:rPr>
          <w:rFonts w:ascii="Arial" w:eastAsia="Calibri" w:hAnsi="Arial" w:cs="Arial"/>
          <w:sz w:val="24"/>
          <w:szCs w:val="24"/>
          <w:lang w:eastAsia="en-US"/>
        </w:rPr>
        <w:t xml:space="preserve">in den Jahren 2016 bis 2020 </w:t>
      </w:r>
      <w:r w:rsidRPr="005F29A4">
        <w:rPr>
          <w:rFonts w:ascii="Arial" w:eastAsia="Calibri" w:hAnsi="Arial" w:cs="Arial"/>
          <w:sz w:val="24"/>
          <w:szCs w:val="24"/>
          <w:lang w:eastAsia="en-US"/>
        </w:rPr>
        <w:t>(</w:t>
      </w:r>
      <w:r w:rsidRPr="00ED520D">
        <w:rPr>
          <w:rFonts w:ascii="Arial" w:eastAsia="Calibri" w:hAnsi="Arial" w:cs="Arial"/>
          <w:b/>
          <w:bCs/>
          <w:sz w:val="24"/>
          <w:szCs w:val="24"/>
          <w:lang w:eastAsia="en-US"/>
        </w:rPr>
        <w:t>fünfter Parameter</w:t>
      </w:r>
      <w:r w:rsidRPr="005F29A4">
        <w:rPr>
          <w:rFonts w:ascii="Arial" w:eastAsia="Calibri" w:hAnsi="Arial" w:cs="Arial"/>
          <w:sz w:val="24"/>
          <w:szCs w:val="24"/>
          <w:lang w:eastAsia="en-US"/>
        </w:rPr>
        <w:t xml:space="preserve">) </w:t>
      </w:r>
      <w:r w:rsidR="00DB49D4">
        <w:rPr>
          <w:rFonts w:ascii="Arial" w:eastAsia="Calibri" w:hAnsi="Arial" w:cs="Arial"/>
          <w:sz w:val="24"/>
          <w:szCs w:val="24"/>
          <w:lang w:eastAsia="en-US"/>
        </w:rPr>
        <w:t xml:space="preserve">wurde von den Parteien des Ausgangsverfahrens nicht vorgetragen und ist auch sonst nicht ersichtlich. </w:t>
      </w:r>
    </w:p>
    <w:p w14:paraId="04732DA3" w14:textId="77777777" w:rsidR="005F29A4" w:rsidRPr="002F642F" w:rsidRDefault="005F29A4" w:rsidP="00C0399E">
      <w:pPr>
        <w:overflowPunct/>
        <w:spacing w:line="276" w:lineRule="auto"/>
        <w:jc w:val="both"/>
        <w:textAlignment w:val="auto"/>
        <w:rPr>
          <w:rFonts w:ascii="Arial" w:eastAsia="Calibri" w:hAnsi="Arial" w:cs="Arial"/>
          <w:sz w:val="24"/>
          <w:szCs w:val="24"/>
          <w:lang w:eastAsia="en-US"/>
        </w:rPr>
      </w:pPr>
    </w:p>
    <w:p w14:paraId="022ABF57" w14:textId="1EF3C09C" w:rsidR="005F29A4" w:rsidRPr="002F642F" w:rsidRDefault="005F29A4" w:rsidP="00C0399E">
      <w:pPr>
        <w:overflowPunct/>
        <w:spacing w:line="276" w:lineRule="auto"/>
        <w:jc w:val="both"/>
        <w:textAlignment w:val="auto"/>
        <w:rPr>
          <w:rFonts w:ascii="Arial" w:eastAsia="Calibri" w:hAnsi="Arial" w:cs="Arial"/>
          <w:sz w:val="24"/>
          <w:szCs w:val="24"/>
          <w:lang w:eastAsia="en-US"/>
        </w:rPr>
      </w:pPr>
      <w:r w:rsidRPr="002F642F">
        <w:rPr>
          <w:rFonts w:ascii="Arial" w:eastAsia="Calibri" w:hAnsi="Arial" w:cs="Arial"/>
          <w:sz w:val="24"/>
          <w:szCs w:val="24"/>
          <w:lang w:eastAsia="en-US"/>
        </w:rPr>
        <w:t xml:space="preserve">g) Insgesamt hat die erste Prüfungsstufe </w:t>
      </w:r>
      <w:r w:rsidR="00221B6F">
        <w:rPr>
          <w:rFonts w:ascii="Arial" w:eastAsia="Calibri" w:hAnsi="Arial" w:cs="Arial"/>
          <w:sz w:val="24"/>
          <w:szCs w:val="24"/>
          <w:lang w:eastAsia="en-US"/>
        </w:rPr>
        <w:t xml:space="preserve">bei vereinfachter Berechnung (zur Spitzausrechnung nachfolgend) </w:t>
      </w:r>
      <w:r w:rsidRPr="002F642F">
        <w:rPr>
          <w:rFonts w:ascii="Arial" w:eastAsia="Calibri" w:hAnsi="Arial" w:cs="Arial"/>
          <w:sz w:val="24"/>
          <w:szCs w:val="24"/>
          <w:lang w:eastAsia="en-US"/>
        </w:rPr>
        <w:t>folgende Ergebnisse erbracht:</w:t>
      </w:r>
    </w:p>
    <w:p w14:paraId="083E6922" w14:textId="77777777" w:rsidR="002E7F62" w:rsidRPr="002F642F" w:rsidRDefault="002E7F62" w:rsidP="00192F5A">
      <w:pPr>
        <w:overflowPunct/>
        <w:autoSpaceDE/>
        <w:autoSpaceDN/>
        <w:adjustRightInd/>
        <w:ind w:left="708"/>
        <w:textAlignment w:val="auto"/>
        <w:rPr>
          <w:rFonts w:ascii="Arial" w:eastAsia="Calibri" w:hAnsi="Arial" w:cs="Arial"/>
          <w:sz w:val="24"/>
          <w:szCs w:val="24"/>
          <w:lang w:eastAsia="en-US"/>
        </w:rPr>
      </w:pPr>
    </w:p>
    <w:tbl>
      <w:tblPr>
        <w:tblW w:w="8341" w:type="dxa"/>
        <w:tblInd w:w="801" w:type="dxa"/>
        <w:tblCellMar>
          <w:left w:w="70" w:type="dxa"/>
          <w:right w:w="70" w:type="dxa"/>
        </w:tblCellMar>
        <w:tblLook w:val="04A0" w:firstRow="1" w:lastRow="0" w:firstColumn="1" w:lastColumn="0" w:noHBand="0" w:noVBand="1"/>
      </w:tblPr>
      <w:tblGrid>
        <w:gridCol w:w="2003"/>
        <w:gridCol w:w="1256"/>
        <w:gridCol w:w="1400"/>
        <w:gridCol w:w="1349"/>
        <w:gridCol w:w="1240"/>
        <w:gridCol w:w="1093"/>
      </w:tblGrid>
      <w:tr w:rsidR="002F642F" w:rsidRPr="002F642F" w14:paraId="552394BC" w14:textId="77777777" w:rsidTr="00CF67C5">
        <w:trPr>
          <w:trHeight w:val="300"/>
        </w:trPr>
        <w:tc>
          <w:tcPr>
            <w:tcW w:w="3259"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1C3B1E2" w14:textId="63CEC877" w:rsidR="00192F5A" w:rsidRPr="002F642F" w:rsidRDefault="00192F5A" w:rsidP="00192F5A">
            <w:pPr>
              <w:overflowPunct/>
              <w:autoSpaceDE/>
              <w:autoSpaceDN/>
              <w:adjustRightInd/>
              <w:textAlignment w:val="auto"/>
              <w:rPr>
                <w:rFonts w:ascii="Arial" w:hAnsi="Arial" w:cs="Arial"/>
                <w:sz w:val="18"/>
                <w:szCs w:val="18"/>
              </w:rPr>
            </w:pPr>
            <w:r w:rsidRPr="002F642F">
              <w:rPr>
                <w:rFonts w:ascii="Arial" w:hAnsi="Arial" w:cs="Arial"/>
                <w:b/>
                <w:bCs/>
                <w:sz w:val="18"/>
                <w:szCs w:val="18"/>
              </w:rPr>
              <w:t>Besoldungsgruppe R1</w:t>
            </w:r>
            <w:r w:rsidRPr="002F642F">
              <w:rPr>
                <w:rFonts w:ascii="Arial" w:hAnsi="Arial" w:cs="Arial"/>
                <w:sz w:val="18"/>
                <w:szCs w:val="18"/>
              </w:rPr>
              <w:t> </w:t>
            </w:r>
          </w:p>
        </w:tc>
        <w:tc>
          <w:tcPr>
            <w:tcW w:w="1400" w:type="dxa"/>
            <w:tcBorders>
              <w:top w:val="double" w:sz="6" w:space="0" w:color="auto"/>
              <w:left w:val="single" w:sz="4" w:space="0" w:color="auto"/>
              <w:bottom w:val="single" w:sz="4" w:space="0" w:color="auto"/>
              <w:right w:val="nil"/>
            </w:tcBorders>
            <w:shd w:val="clear" w:color="auto" w:fill="auto"/>
            <w:noWrap/>
            <w:vAlign w:val="bottom"/>
            <w:hideMark/>
          </w:tcPr>
          <w:p w14:paraId="5B8C1BF1"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349" w:type="dxa"/>
            <w:tcBorders>
              <w:top w:val="double" w:sz="6" w:space="0" w:color="auto"/>
              <w:left w:val="nil"/>
              <w:bottom w:val="single" w:sz="4" w:space="0" w:color="auto"/>
              <w:right w:val="nil"/>
            </w:tcBorders>
            <w:shd w:val="clear" w:color="auto" w:fill="auto"/>
            <w:noWrap/>
            <w:vAlign w:val="bottom"/>
            <w:hideMark/>
          </w:tcPr>
          <w:p w14:paraId="2918DB85"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240" w:type="dxa"/>
            <w:tcBorders>
              <w:top w:val="double" w:sz="6" w:space="0" w:color="auto"/>
              <w:left w:val="nil"/>
              <w:bottom w:val="single" w:sz="4" w:space="0" w:color="auto"/>
              <w:right w:val="nil"/>
            </w:tcBorders>
            <w:shd w:val="clear" w:color="auto" w:fill="auto"/>
            <w:noWrap/>
            <w:vAlign w:val="bottom"/>
            <w:hideMark/>
          </w:tcPr>
          <w:p w14:paraId="39AA5788"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093" w:type="dxa"/>
            <w:tcBorders>
              <w:top w:val="double" w:sz="6" w:space="0" w:color="auto"/>
              <w:left w:val="nil"/>
              <w:bottom w:val="single" w:sz="4" w:space="0" w:color="auto"/>
              <w:right w:val="double" w:sz="6" w:space="0" w:color="auto"/>
            </w:tcBorders>
            <w:shd w:val="clear" w:color="auto" w:fill="auto"/>
            <w:noWrap/>
            <w:vAlign w:val="bottom"/>
            <w:hideMark/>
          </w:tcPr>
          <w:p w14:paraId="56ECCA8E"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r>
      <w:tr w:rsidR="002F642F" w:rsidRPr="002F642F" w14:paraId="0A6DD193" w14:textId="77777777" w:rsidTr="00CF67C5">
        <w:trPr>
          <w:trHeight w:val="588"/>
        </w:trPr>
        <w:tc>
          <w:tcPr>
            <w:tcW w:w="2003" w:type="dxa"/>
            <w:tcBorders>
              <w:top w:val="nil"/>
              <w:left w:val="double" w:sz="6" w:space="0" w:color="auto"/>
              <w:bottom w:val="single" w:sz="8" w:space="0" w:color="auto"/>
              <w:right w:val="single" w:sz="4" w:space="0" w:color="auto"/>
            </w:tcBorders>
            <w:shd w:val="clear" w:color="auto" w:fill="auto"/>
            <w:noWrap/>
            <w:vAlign w:val="bottom"/>
            <w:hideMark/>
          </w:tcPr>
          <w:p w14:paraId="510DC065"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256" w:type="dxa"/>
            <w:tcBorders>
              <w:top w:val="single" w:sz="4" w:space="0" w:color="auto"/>
              <w:left w:val="nil"/>
              <w:bottom w:val="single" w:sz="8" w:space="0" w:color="auto"/>
              <w:right w:val="single" w:sz="4" w:space="0" w:color="auto"/>
            </w:tcBorders>
            <w:shd w:val="clear" w:color="auto" w:fill="auto"/>
            <w:vAlign w:val="bottom"/>
            <w:hideMark/>
          </w:tcPr>
          <w:p w14:paraId="179AC334"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Tariflohn-entwicklung</w:t>
            </w:r>
          </w:p>
        </w:tc>
        <w:tc>
          <w:tcPr>
            <w:tcW w:w="1400" w:type="dxa"/>
            <w:tcBorders>
              <w:top w:val="nil"/>
              <w:left w:val="nil"/>
              <w:bottom w:val="single" w:sz="8" w:space="0" w:color="auto"/>
              <w:right w:val="single" w:sz="4" w:space="0" w:color="auto"/>
            </w:tcBorders>
            <w:shd w:val="clear" w:color="auto" w:fill="auto"/>
            <w:vAlign w:val="bottom"/>
            <w:hideMark/>
          </w:tcPr>
          <w:p w14:paraId="273F5392"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Nominallohn-index</w:t>
            </w:r>
          </w:p>
        </w:tc>
        <w:tc>
          <w:tcPr>
            <w:tcW w:w="1349" w:type="dxa"/>
            <w:tcBorders>
              <w:top w:val="nil"/>
              <w:left w:val="nil"/>
              <w:bottom w:val="single" w:sz="8" w:space="0" w:color="auto"/>
              <w:right w:val="single" w:sz="4" w:space="0" w:color="auto"/>
            </w:tcBorders>
            <w:shd w:val="clear" w:color="auto" w:fill="auto"/>
            <w:vAlign w:val="bottom"/>
            <w:hideMark/>
          </w:tcPr>
          <w:p w14:paraId="4375CBED"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Verbraucher-preisindex</w:t>
            </w:r>
          </w:p>
        </w:tc>
        <w:tc>
          <w:tcPr>
            <w:tcW w:w="2333" w:type="dxa"/>
            <w:gridSpan w:val="2"/>
            <w:tcBorders>
              <w:top w:val="single" w:sz="4" w:space="0" w:color="auto"/>
              <w:left w:val="nil"/>
              <w:bottom w:val="single" w:sz="8" w:space="0" w:color="auto"/>
              <w:right w:val="double" w:sz="6" w:space="0" w:color="000000"/>
            </w:tcBorders>
            <w:shd w:val="clear" w:color="auto" w:fill="auto"/>
            <w:vAlign w:val="center"/>
            <w:hideMark/>
          </w:tcPr>
          <w:p w14:paraId="191D0C4E" w14:textId="7026B36A"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Mindestabstandsgebot</w:t>
            </w:r>
          </w:p>
        </w:tc>
      </w:tr>
      <w:tr w:rsidR="002F642F" w:rsidRPr="002F642F" w14:paraId="48A5303E"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320DA196"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2016</w:t>
            </w:r>
          </w:p>
        </w:tc>
        <w:tc>
          <w:tcPr>
            <w:tcW w:w="1256" w:type="dxa"/>
            <w:tcBorders>
              <w:top w:val="nil"/>
              <w:left w:val="nil"/>
              <w:bottom w:val="nil"/>
              <w:right w:val="single" w:sz="4" w:space="0" w:color="auto"/>
            </w:tcBorders>
            <w:shd w:val="clear" w:color="auto" w:fill="auto"/>
            <w:noWrap/>
            <w:vAlign w:val="bottom"/>
            <w:hideMark/>
          </w:tcPr>
          <w:p w14:paraId="4FFCBF46" w14:textId="5AE475DF"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8,28</w:t>
            </w:r>
            <w:r w:rsidR="005A473B"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2E42BAB8" w14:textId="28D37878"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3,76</w:t>
            </w:r>
            <w:r w:rsidR="005A473B"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5101F9F6" w14:textId="0DADAD63"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3,23</w:t>
            </w:r>
            <w:r w:rsidR="005A473B"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53DF3965"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35A9A82A" w14:textId="5CA2FA7E"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CF1B0A">
              <w:rPr>
                <w:rFonts w:ascii="Arial" w:hAnsi="Arial" w:cs="Arial"/>
                <w:sz w:val="18"/>
                <w:szCs w:val="18"/>
              </w:rPr>
              <w:t>8</w:t>
            </w:r>
            <w:r w:rsidR="00CF67C5" w:rsidRPr="002F642F">
              <w:rPr>
                <w:rFonts w:ascii="Arial" w:hAnsi="Arial" w:cs="Arial"/>
                <w:sz w:val="18"/>
                <w:szCs w:val="18"/>
              </w:rPr>
              <w:t xml:space="preserve"> %</w:t>
            </w:r>
            <w:r w:rsidRPr="002F642F">
              <w:rPr>
                <w:rFonts w:ascii="Arial" w:hAnsi="Arial" w:cs="Arial"/>
                <w:sz w:val="18"/>
                <w:szCs w:val="18"/>
              </w:rPr>
              <w:t>/</w:t>
            </w:r>
            <w:r w:rsidR="00A91664">
              <w:rPr>
                <w:rFonts w:ascii="Arial" w:hAnsi="Arial" w:cs="Arial"/>
                <w:sz w:val="18"/>
                <w:szCs w:val="18"/>
              </w:rPr>
              <w:t>30</w:t>
            </w:r>
            <w:r w:rsidR="00CF67C5" w:rsidRPr="002F642F">
              <w:rPr>
                <w:rFonts w:ascii="Arial" w:hAnsi="Arial" w:cs="Arial"/>
                <w:sz w:val="18"/>
                <w:szCs w:val="18"/>
              </w:rPr>
              <w:t xml:space="preserve"> %</w:t>
            </w:r>
          </w:p>
        </w:tc>
      </w:tr>
      <w:tr w:rsidR="002F642F" w:rsidRPr="002F642F" w14:paraId="267A0D3B"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0438A453"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2017</w:t>
            </w:r>
          </w:p>
        </w:tc>
        <w:tc>
          <w:tcPr>
            <w:tcW w:w="1256" w:type="dxa"/>
            <w:tcBorders>
              <w:top w:val="nil"/>
              <w:left w:val="nil"/>
              <w:bottom w:val="nil"/>
              <w:right w:val="single" w:sz="4" w:space="0" w:color="auto"/>
            </w:tcBorders>
            <w:shd w:val="clear" w:color="auto" w:fill="auto"/>
            <w:noWrap/>
            <w:vAlign w:val="bottom"/>
            <w:hideMark/>
          </w:tcPr>
          <w:p w14:paraId="0C04C9EA" w14:textId="2AFD7791"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9,77</w:t>
            </w:r>
            <w:r w:rsidR="005A473B"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2EC2CD9B" w14:textId="34176BBA"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5,07</w:t>
            </w:r>
            <w:r w:rsidR="005A473B"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0256849C" w14:textId="16F43369"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2,80</w:t>
            </w:r>
            <w:r w:rsidR="005A473B"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4C2A0B38"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03FD462E" w14:textId="5056F428"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A91664">
              <w:rPr>
                <w:rFonts w:ascii="Arial" w:hAnsi="Arial" w:cs="Arial"/>
                <w:sz w:val="18"/>
                <w:szCs w:val="18"/>
              </w:rPr>
              <w:t>7</w:t>
            </w:r>
            <w:r w:rsidR="00CF67C5" w:rsidRPr="002F642F">
              <w:rPr>
                <w:rFonts w:ascii="Arial" w:hAnsi="Arial" w:cs="Arial"/>
                <w:sz w:val="18"/>
                <w:szCs w:val="18"/>
              </w:rPr>
              <w:t xml:space="preserve"> %</w:t>
            </w:r>
            <w:r w:rsidRPr="002F642F">
              <w:rPr>
                <w:rFonts w:ascii="Arial" w:hAnsi="Arial" w:cs="Arial"/>
                <w:sz w:val="18"/>
                <w:szCs w:val="18"/>
              </w:rPr>
              <w:t>/</w:t>
            </w:r>
            <w:r w:rsidR="00A91664">
              <w:rPr>
                <w:rFonts w:ascii="Arial" w:hAnsi="Arial" w:cs="Arial"/>
                <w:sz w:val="18"/>
                <w:szCs w:val="18"/>
              </w:rPr>
              <w:t>30</w:t>
            </w:r>
            <w:r w:rsidR="00CF67C5" w:rsidRPr="002F642F">
              <w:rPr>
                <w:rFonts w:ascii="Arial" w:hAnsi="Arial" w:cs="Arial"/>
                <w:sz w:val="18"/>
                <w:szCs w:val="18"/>
              </w:rPr>
              <w:t xml:space="preserve"> %</w:t>
            </w:r>
          </w:p>
        </w:tc>
      </w:tr>
      <w:tr w:rsidR="002F642F" w:rsidRPr="002F642F" w14:paraId="6FE647E0"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335A64F4"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2018</w:t>
            </w:r>
          </w:p>
        </w:tc>
        <w:tc>
          <w:tcPr>
            <w:tcW w:w="1256" w:type="dxa"/>
            <w:tcBorders>
              <w:top w:val="nil"/>
              <w:left w:val="nil"/>
              <w:bottom w:val="nil"/>
              <w:right w:val="single" w:sz="4" w:space="0" w:color="auto"/>
            </w:tcBorders>
            <w:shd w:val="clear" w:color="auto" w:fill="auto"/>
            <w:noWrap/>
            <w:vAlign w:val="bottom"/>
            <w:hideMark/>
          </w:tcPr>
          <w:p w14:paraId="2DDFBA49" w14:textId="43C7E9A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2,68</w:t>
            </w:r>
            <w:r w:rsidR="005A473B"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7AFA4D98" w14:textId="08E26FC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1,17</w:t>
            </w:r>
            <w:r w:rsidR="005A473B"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6F7FC091" w14:textId="0B3EAD74"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-2,45</w:t>
            </w:r>
            <w:r w:rsidR="005A473B"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130B80BA"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3B561166" w14:textId="0111E99C"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A91664">
              <w:rPr>
                <w:rFonts w:ascii="Arial" w:hAnsi="Arial" w:cs="Arial"/>
                <w:sz w:val="18"/>
                <w:szCs w:val="18"/>
              </w:rPr>
              <w:t>5</w:t>
            </w:r>
            <w:r w:rsidR="00CF67C5" w:rsidRPr="002F642F">
              <w:rPr>
                <w:rFonts w:ascii="Arial" w:hAnsi="Arial" w:cs="Arial"/>
                <w:sz w:val="18"/>
                <w:szCs w:val="18"/>
              </w:rPr>
              <w:t xml:space="preserve"> %</w:t>
            </w:r>
            <w:r w:rsidRPr="002F642F">
              <w:rPr>
                <w:rFonts w:ascii="Arial" w:hAnsi="Arial" w:cs="Arial"/>
                <w:sz w:val="18"/>
                <w:szCs w:val="18"/>
              </w:rPr>
              <w:t>/2</w:t>
            </w:r>
            <w:r w:rsidR="00A91664">
              <w:rPr>
                <w:rFonts w:ascii="Arial" w:hAnsi="Arial" w:cs="Arial"/>
                <w:sz w:val="18"/>
                <w:szCs w:val="18"/>
              </w:rPr>
              <w:t>8</w:t>
            </w:r>
            <w:r w:rsidR="00CF67C5" w:rsidRPr="002F642F">
              <w:rPr>
                <w:rFonts w:ascii="Arial" w:hAnsi="Arial" w:cs="Arial"/>
                <w:sz w:val="18"/>
                <w:szCs w:val="18"/>
              </w:rPr>
              <w:t xml:space="preserve"> %</w:t>
            </w:r>
          </w:p>
        </w:tc>
      </w:tr>
      <w:tr w:rsidR="002F642F" w:rsidRPr="002F642F" w14:paraId="297639B2"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706043B3"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2019</w:t>
            </w:r>
          </w:p>
        </w:tc>
        <w:tc>
          <w:tcPr>
            <w:tcW w:w="1256" w:type="dxa"/>
            <w:tcBorders>
              <w:top w:val="nil"/>
              <w:left w:val="nil"/>
              <w:bottom w:val="nil"/>
              <w:right w:val="single" w:sz="4" w:space="0" w:color="auto"/>
            </w:tcBorders>
            <w:shd w:val="clear" w:color="auto" w:fill="auto"/>
            <w:noWrap/>
            <w:vAlign w:val="bottom"/>
            <w:hideMark/>
          </w:tcPr>
          <w:p w14:paraId="38121673" w14:textId="3A579DD8"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1,42</w:t>
            </w:r>
            <w:r w:rsidR="005A473B"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28F40D53" w14:textId="4195298A"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2,60</w:t>
            </w:r>
            <w:r w:rsidR="005A473B"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35AFF0EF" w14:textId="178C872E"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-5,25</w:t>
            </w:r>
            <w:r w:rsidR="005A473B"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39BADB1D"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5074BCA7" w14:textId="237CAD63"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D83EA0">
              <w:rPr>
                <w:rFonts w:ascii="Arial" w:hAnsi="Arial" w:cs="Arial"/>
                <w:sz w:val="18"/>
                <w:szCs w:val="18"/>
              </w:rPr>
              <w:t>5</w:t>
            </w:r>
            <w:r w:rsidR="00CF67C5" w:rsidRPr="002F642F">
              <w:rPr>
                <w:rFonts w:ascii="Arial" w:hAnsi="Arial" w:cs="Arial"/>
                <w:sz w:val="18"/>
                <w:szCs w:val="18"/>
              </w:rPr>
              <w:t xml:space="preserve"> %</w:t>
            </w:r>
            <w:r w:rsidRPr="002F642F">
              <w:rPr>
                <w:rFonts w:ascii="Arial" w:hAnsi="Arial" w:cs="Arial"/>
                <w:sz w:val="18"/>
                <w:szCs w:val="18"/>
              </w:rPr>
              <w:t>/2</w:t>
            </w:r>
            <w:r w:rsidR="00D83EA0">
              <w:rPr>
                <w:rFonts w:ascii="Arial" w:hAnsi="Arial" w:cs="Arial"/>
                <w:sz w:val="18"/>
                <w:szCs w:val="18"/>
              </w:rPr>
              <w:t>7</w:t>
            </w:r>
            <w:r w:rsidR="00CF67C5" w:rsidRPr="002F642F">
              <w:rPr>
                <w:rFonts w:ascii="Arial" w:hAnsi="Arial" w:cs="Arial"/>
                <w:sz w:val="18"/>
                <w:szCs w:val="18"/>
              </w:rPr>
              <w:t xml:space="preserve"> %</w:t>
            </w:r>
          </w:p>
        </w:tc>
      </w:tr>
      <w:tr w:rsidR="002F642F" w:rsidRPr="002F642F" w14:paraId="6624D489" w14:textId="77777777" w:rsidTr="00227A9E">
        <w:trPr>
          <w:trHeight w:val="300"/>
        </w:trPr>
        <w:tc>
          <w:tcPr>
            <w:tcW w:w="2003"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37903223"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2020</w:t>
            </w:r>
          </w:p>
        </w:tc>
        <w:tc>
          <w:tcPr>
            <w:tcW w:w="1256" w:type="dxa"/>
            <w:tcBorders>
              <w:top w:val="nil"/>
              <w:left w:val="nil"/>
              <w:bottom w:val="double" w:sz="6" w:space="0" w:color="auto"/>
              <w:right w:val="single" w:sz="4" w:space="0" w:color="auto"/>
            </w:tcBorders>
            <w:shd w:val="clear" w:color="auto" w:fill="auto"/>
            <w:noWrap/>
            <w:vAlign w:val="bottom"/>
            <w:hideMark/>
          </w:tcPr>
          <w:p w14:paraId="31E045B4" w14:textId="4EC9050E"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0,27</w:t>
            </w:r>
            <w:r w:rsidR="005A473B" w:rsidRPr="002F642F">
              <w:rPr>
                <w:rFonts w:ascii="Arial" w:hAnsi="Arial" w:cs="Arial"/>
                <w:sz w:val="18"/>
                <w:szCs w:val="18"/>
              </w:rPr>
              <w:t xml:space="preserve"> %</w:t>
            </w:r>
          </w:p>
        </w:tc>
        <w:tc>
          <w:tcPr>
            <w:tcW w:w="1400" w:type="dxa"/>
            <w:tcBorders>
              <w:top w:val="nil"/>
              <w:left w:val="nil"/>
              <w:bottom w:val="double" w:sz="6" w:space="0" w:color="auto"/>
              <w:right w:val="single" w:sz="4" w:space="0" w:color="auto"/>
            </w:tcBorders>
            <w:shd w:val="clear" w:color="auto" w:fill="auto"/>
            <w:noWrap/>
            <w:vAlign w:val="bottom"/>
            <w:hideMark/>
          </w:tcPr>
          <w:p w14:paraId="03DECDD5" w14:textId="254AD871"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-0,55</w:t>
            </w:r>
            <w:r w:rsidR="005A473B" w:rsidRPr="002F642F">
              <w:rPr>
                <w:rFonts w:ascii="Arial" w:hAnsi="Arial" w:cs="Arial"/>
                <w:sz w:val="18"/>
                <w:szCs w:val="18"/>
              </w:rPr>
              <w:t xml:space="preserve"> %</w:t>
            </w:r>
          </w:p>
        </w:tc>
        <w:tc>
          <w:tcPr>
            <w:tcW w:w="1349" w:type="dxa"/>
            <w:tcBorders>
              <w:top w:val="nil"/>
              <w:left w:val="nil"/>
              <w:bottom w:val="double" w:sz="6" w:space="0" w:color="auto"/>
              <w:right w:val="single" w:sz="4" w:space="0" w:color="auto"/>
            </w:tcBorders>
            <w:shd w:val="clear" w:color="auto" w:fill="auto"/>
            <w:noWrap/>
            <w:vAlign w:val="bottom"/>
            <w:hideMark/>
          </w:tcPr>
          <w:p w14:paraId="158B03C7" w14:textId="4FF1380A"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-9,96</w:t>
            </w:r>
            <w:r w:rsidR="005A473B" w:rsidRPr="002F642F">
              <w:rPr>
                <w:rFonts w:ascii="Arial" w:hAnsi="Arial" w:cs="Arial"/>
                <w:sz w:val="18"/>
                <w:szCs w:val="18"/>
              </w:rPr>
              <w:t xml:space="preserve"> %</w:t>
            </w:r>
          </w:p>
        </w:tc>
        <w:tc>
          <w:tcPr>
            <w:tcW w:w="1240" w:type="dxa"/>
            <w:tcBorders>
              <w:top w:val="nil"/>
              <w:left w:val="nil"/>
              <w:bottom w:val="double" w:sz="6" w:space="0" w:color="auto"/>
              <w:right w:val="nil"/>
            </w:tcBorders>
            <w:shd w:val="clear" w:color="auto" w:fill="auto"/>
            <w:noWrap/>
            <w:vAlign w:val="bottom"/>
            <w:hideMark/>
          </w:tcPr>
          <w:p w14:paraId="111CA0E5"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double" w:sz="6" w:space="0" w:color="auto"/>
              <w:right w:val="double" w:sz="6" w:space="0" w:color="auto"/>
            </w:tcBorders>
            <w:shd w:val="clear" w:color="auto" w:fill="auto"/>
            <w:noWrap/>
            <w:vAlign w:val="bottom"/>
            <w:hideMark/>
          </w:tcPr>
          <w:p w14:paraId="12551C21" w14:textId="1135C9CB" w:rsidR="00192F5A" w:rsidRPr="002F642F" w:rsidRDefault="00D83EA0" w:rsidP="00192F5A">
            <w:pPr>
              <w:overflowPunct/>
              <w:autoSpaceDE/>
              <w:autoSpaceDN/>
              <w:adjustRightInd/>
              <w:jc w:val="center"/>
              <w:textAlignment w:val="auto"/>
              <w:rPr>
                <w:rFonts w:ascii="Arial" w:hAnsi="Arial" w:cs="Arial"/>
                <w:sz w:val="18"/>
                <w:szCs w:val="18"/>
              </w:rPr>
            </w:pPr>
            <w:r>
              <w:rPr>
                <w:rFonts w:ascii="Arial" w:hAnsi="Arial" w:cs="Arial"/>
                <w:sz w:val="18"/>
                <w:szCs w:val="18"/>
              </w:rPr>
              <w:t>22</w:t>
            </w:r>
            <w:r w:rsidR="00CF67C5" w:rsidRPr="002F642F">
              <w:rPr>
                <w:rFonts w:ascii="Arial" w:hAnsi="Arial" w:cs="Arial"/>
                <w:sz w:val="18"/>
                <w:szCs w:val="18"/>
              </w:rPr>
              <w:t xml:space="preserve"> %</w:t>
            </w:r>
            <w:r w:rsidR="00192F5A" w:rsidRPr="002F642F">
              <w:rPr>
                <w:rFonts w:ascii="Arial" w:hAnsi="Arial" w:cs="Arial"/>
                <w:sz w:val="18"/>
                <w:szCs w:val="18"/>
              </w:rPr>
              <w:t>/2</w:t>
            </w:r>
            <w:r>
              <w:rPr>
                <w:rFonts w:ascii="Arial" w:hAnsi="Arial" w:cs="Arial"/>
                <w:sz w:val="18"/>
                <w:szCs w:val="18"/>
              </w:rPr>
              <w:t>4</w:t>
            </w:r>
            <w:r w:rsidR="00CF67C5" w:rsidRPr="002F642F">
              <w:rPr>
                <w:rFonts w:ascii="Arial" w:hAnsi="Arial" w:cs="Arial"/>
                <w:sz w:val="18"/>
                <w:szCs w:val="18"/>
              </w:rPr>
              <w:t xml:space="preserve"> %</w:t>
            </w:r>
          </w:p>
        </w:tc>
      </w:tr>
      <w:tr w:rsidR="002F642F" w:rsidRPr="002F642F" w14:paraId="6AE81737" w14:textId="77777777" w:rsidTr="00CF67C5">
        <w:trPr>
          <w:trHeight w:val="312"/>
        </w:trPr>
        <w:tc>
          <w:tcPr>
            <w:tcW w:w="2003" w:type="dxa"/>
            <w:tcBorders>
              <w:top w:val="nil"/>
              <w:left w:val="nil"/>
              <w:bottom w:val="nil"/>
              <w:right w:val="nil"/>
            </w:tcBorders>
            <w:shd w:val="clear" w:color="auto" w:fill="auto"/>
            <w:noWrap/>
            <w:vAlign w:val="bottom"/>
            <w:hideMark/>
          </w:tcPr>
          <w:p w14:paraId="2DFA6E9A" w14:textId="77777777" w:rsidR="00192F5A" w:rsidRPr="002F642F" w:rsidRDefault="00192F5A" w:rsidP="00192F5A">
            <w:pPr>
              <w:overflowPunct/>
              <w:autoSpaceDE/>
              <w:autoSpaceDN/>
              <w:adjustRightInd/>
              <w:jc w:val="center"/>
              <w:textAlignment w:val="auto"/>
              <w:rPr>
                <w:rFonts w:ascii="Arial" w:hAnsi="Arial" w:cs="Arial"/>
                <w:sz w:val="18"/>
                <w:szCs w:val="18"/>
              </w:rPr>
            </w:pPr>
          </w:p>
        </w:tc>
        <w:tc>
          <w:tcPr>
            <w:tcW w:w="1256" w:type="dxa"/>
            <w:tcBorders>
              <w:top w:val="nil"/>
              <w:left w:val="nil"/>
              <w:bottom w:val="nil"/>
              <w:right w:val="nil"/>
            </w:tcBorders>
            <w:shd w:val="clear" w:color="auto" w:fill="auto"/>
            <w:noWrap/>
            <w:vAlign w:val="bottom"/>
            <w:hideMark/>
          </w:tcPr>
          <w:p w14:paraId="7B71D3D2" w14:textId="77777777" w:rsidR="00192F5A" w:rsidRPr="002F642F" w:rsidRDefault="00192F5A" w:rsidP="00192F5A">
            <w:pPr>
              <w:overflowPunct/>
              <w:autoSpaceDE/>
              <w:autoSpaceDN/>
              <w:adjustRightInd/>
              <w:jc w:val="center"/>
              <w:textAlignment w:val="auto"/>
              <w:rPr>
                <w:rFonts w:ascii="Arial" w:hAnsi="Arial" w:cs="Arial"/>
                <w:sz w:val="18"/>
                <w:szCs w:val="18"/>
              </w:rPr>
            </w:pPr>
          </w:p>
        </w:tc>
        <w:tc>
          <w:tcPr>
            <w:tcW w:w="1400" w:type="dxa"/>
            <w:tcBorders>
              <w:top w:val="nil"/>
              <w:left w:val="nil"/>
              <w:bottom w:val="nil"/>
              <w:right w:val="nil"/>
            </w:tcBorders>
            <w:shd w:val="clear" w:color="auto" w:fill="auto"/>
            <w:noWrap/>
            <w:vAlign w:val="bottom"/>
            <w:hideMark/>
          </w:tcPr>
          <w:p w14:paraId="58D8233D" w14:textId="77777777" w:rsidR="00192F5A" w:rsidRPr="002F642F" w:rsidRDefault="00192F5A" w:rsidP="00192F5A">
            <w:pPr>
              <w:overflowPunct/>
              <w:autoSpaceDE/>
              <w:autoSpaceDN/>
              <w:adjustRightInd/>
              <w:jc w:val="center"/>
              <w:textAlignment w:val="auto"/>
              <w:rPr>
                <w:rFonts w:ascii="Arial" w:hAnsi="Arial" w:cs="Arial"/>
                <w:sz w:val="18"/>
                <w:szCs w:val="18"/>
              </w:rPr>
            </w:pPr>
          </w:p>
        </w:tc>
        <w:tc>
          <w:tcPr>
            <w:tcW w:w="1349" w:type="dxa"/>
            <w:tcBorders>
              <w:top w:val="nil"/>
              <w:left w:val="nil"/>
              <w:bottom w:val="nil"/>
              <w:right w:val="nil"/>
            </w:tcBorders>
            <w:shd w:val="clear" w:color="auto" w:fill="auto"/>
            <w:noWrap/>
            <w:vAlign w:val="bottom"/>
            <w:hideMark/>
          </w:tcPr>
          <w:p w14:paraId="76CCB00D" w14:textId="77777777" w:rsidR="00192F5A" w:rsidRPr="002F642F" w:rsidRDefault="00192F5A" w:rsidP="00192F5A">
            <w:pPr>
              <w:overflowPunct/>
              <w:autoSpaceDE/>
              <w:autoSpaceDN/>
              <w:adjustRightInd/>
              <w:jc w:val="center"/>
              <w:textAlignment w:val="auto"/>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14:paraId="258ADB36" w14:textId="77777777" w:rsidR="00192F5A" w:rsidRPr="002F642F" w:rsidRDefault="00192F5A" w:rsidP="00192F5A">
            <w:pPr>
              <w:overflowPunct/>
              <w:autoSpaceDE/>
              <w:autoSpaceDN/>
              <w:adjustRightInd/>
              <w:jc w:val="center"/>
              <w:textAlignment w:val="auto"/>
              <w:rPr>
                <w:rFonts w:ascii="Arial" w:hAnsi="Arial" w:cs="Arial"/>
                <w:sz w:val="18"/>
                <w:szCs w:val="18"/>
              </w:rPr>
            </w:pPr>
          </w:p>
        </w:tc>
        <w:tc>
          <w:tcPr>
            <w:tcW w:w="1093" w:type="dxa"/>
            <w:tcBorders>
              <w:top w:val="nil"/>
              <w:left w:val="nil"/>
              <w:bottom w:val="double" w:sz="6" w:space="0" w:color="auto"/>
              <w:right w:val="nil"/>
            </w:tcBorders>
            <w:shd w:val="clear" w:color="auto" w:fill="auto"/>
            <w:noWrap/>
            <w:vAlign w:val="bottom"/>
            <w:hideMark/>
          </w:tcPr>
          <w:p w14:paraId="5B085D17"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r>
      <w:tr w:rsidR="002F642F" w:rsidRPr="002F642F" w14:paraId="0B91D857" w14:textId="77777777" w:rsidTr="00CF67C5">
        <w:trPr>
          <w:trHeight w:val="300"/>
        </w:trPr>
        <w:tc>
          <w:tcPr>
            <w:tcW w:w="3259"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96E4642" w14:textId="2BA495C4" w:rsidR="00192F5A" w:rsidRPr="002F642F" w:rsidRDefault="00192F5A" w:rsidP="00192F5A">
            <w:pPr>
              <w:overflowPunct/>
              <w:autoSpaceDE/>
              <w:autoSpaceDN/>
              <w:adjustRightInd/>
              <w:textAlignment w:val="auto"/>
              <w:rPr>
                <w:rFonts w:ascii="Arial" w:hAnsi="Arial" w:cs="Arial"/>
                <w:sz w:val="18"/>
                <w:szCs w:val="18"/>
              </w:rPr>
            </w:pPr>
            <w:r w:rsidRPr="002F642F">
              <w:rPr>
                <w:rFonts w:ascii="Arial" w:hAnsi="Arial" w:cs="Arial"/>
                <w:b/>
                <w:bCs/>
                <w:sz w:val="18"/>
                <w:szCs w:val="18"/>
              </w:rPr>
              <w:t>Besoldungsgruppe R2</w:t>
            </w:r>
            <w:r w:rsidRPr="002F642F">
              <w:rPr>
                <w:rFonts w:ascii="Arial" w:hAnsi="Arial" w:cs="Arial"/>
                <w:sz w:val="18"/>
                <w:szCs w:val="18"/>
              </w:rPr>
              <w:t> </w:t>
            </w:r>
          </w:p>
        </w:tc>
        <w:tc>
          <w:tcPr>
            <w:tcW w:w="1400" w:type="dxa"/>
            <w:tcBorders>
              <w:top w:val="double" w:sz="6" w:space="0" w:color="auto"/>
              <w:left w:val="single" w:sz="4" w:space="0" w:color="auto"/>
              <w:bottom w:val="single" w:sz="4" w:space="0" w:color="auto"/>
              <w:right w:val="nil"/>
            </w:tcBorders>
            <w:shd w:val="clear" w:color="auto" w:fill="auto"/>
            <w:noWrap/>
            <w:vAlign w:val="bottom"/>
            <w:hideMark/>
          </w:tcPr>
          <w:p w14:paraId="668A0AEC"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349" w:type="dxa"/>
            <w:tcBorders>
              <w:top w:val="double" w:sz="6" w:space="0" w:color="auto"/>
              <w:left w:val="nil"/>
              <w:bottom w:val="single" w:sz="4" w:space="0" w:color="auto"/>
              <w:right w:val="nil"/>
            </w:tcBorders>
            <w:shd w:val="clear" w:color="auto" w:fill="auto"/>
            <w:noWrap/>
            <w:vAlign w:val="bottom"/>
            <w:hideMark/>
          </w:tcPr>
          <w:p w14:paraId="58D1DB5F"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240" w:type="dxa"/>
            <w:tcBorders>
              <w:top w:val="double" w:sz="6" w:space="0" w:color="auto"/>
              <w:left w:val="nil"/>
              <w:bottom w:val="single" w:sz="4" w:space="0" w:color="auto"/>
              <w:right w:val="nil"/>
            </w:tcBorders>
            <w:shd w:val="clear" w:color="auto" w:fill="auto"/>
            <w:noWrap/>
            <w:vAlign w:val="bottom"/>
            <w:hideMark/>
          </w:tcPr>
          <w:p w14:paraId="05D9AAF9"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093" w:type="dxa"/>
            <w:tcBorders>
              <w:top w:val="nil"/>
              <w:left w:val="nil"/>
              <w:bottom w:val="single" w:sz="4" w:space="0" w:color="auto"/>
              <w:right w:val="double" w:sz="6" w:space="0" w:color="auto"/>
            </w:tcBorders>
            <w:shd w:val="clear" w:color="auto" w:fill="auto"/>
            <w:noWrap/>
            <w:vAlign w:val="bottom"/>
            <w:hideMark/>
          </w:tcPr>
          <w:p w14:paraId="0A80D5AC"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r>
      <w:tr w:rsidR="002F642F" w:rsidRPr="002F642F" w14:paraId="4B89A545" w14:textId="77777777" w:rsidTr="00CF67C5">
        <w:trPr>
          <w:trHeight w:val="588"/>
        </w:trPr>
        <w:tc>
          <w:tcPr>
            <w:tcW w:w="2003" w:type="dxa"/>
            <w:tcBorders>
              <w:top w:val="nil"/>
              <w:left w:val="double" w:sz="6" w:space="0" w:color="auto"/>
              <w:bottom w:val="single" w:sz="8" w:space="0" w:color="auto"/>
              <w:right w:val="single" w:sz="4" w:space="0" w:color="auto"/>
            </w:tcBorders>
            <w:shd w:val="clear" w:color="auto" w:fill="auto"/>
            <w:noWrap/>
            <w:vAlign w:val="bottom"/>
            <w:hideMark/>
          </w:tcPr>
          <w:p w14:paraId="75254590"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 </w:t>
            </w:r>
          </w:p>
        </w:tc>
        <w:tc>
          <w:tcPr>
            <w:tcW w:w="1256" w:type="dxa"/>
            <w:tcBorders>
              <w:top w:val="single" w:sz="4" w:space="0" w:color="auto"/>
              <w:left w:val="nil"/>
              <w:bottom w:val="single" w:sz="8" w:space="0" w:color="auto"/>
              <w:right w:val="single" w:sz="4" w:space="0" w:color="auto"/>
            </w:tcBorders>
            <w:shd w:val="clear" w:color="auto" w:fill="auto"/>
            <w:vAlign w:val="bottom"/>
            <w:hideMark/>
          </w:tcPr>
          <w:p w14:paraId="31EA9BDA"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Tariflohn-entwicklung</w:t>
            </w:r>
          </w:p>
        </w:tc>
        <w:tc>
          <w:tcPr>
            <w:tcW w:w="1400" w:type="dxa"/>
            <w:tcBorders>
              <w:top w:val="nil"/>
              <w:left w:val="nil"/>
              <w:bottom w:val="single" w:sz="8" w:space="0" w:color="auto"/>
              <w:right w:val="single" w:sz="4" w:space="0" w:color="auto"/>
            </w:tcBorders>
            <w:shd w:val="clear" w:color="auto" w:fill="auto"/>
            <w:vAlign w:val="bottom"/>
            <w:hideMark/>
          </w:tcPr>
          <w:p w14:paraId="1069BB76"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Nominallohn-index</w:t>
            </w:r>
          </w:p>
        </w:tc>
        <w:tc>
          <w:tcPr>
            <w:tcW w:w="1349" w:type="dxa"/>
            <w:tcBorders>
              <w:top w:val="nil"/>
              <w:left w:val="nil"/>
              <w:bottom w:val="single" w:sz="8" w:space="0" w:color="auto"/>
              <w:right w:val="single" w:sz="4" w:space="0" w:color="auto"/>
            </w:tcBorders>
            <w:shd w:val="clear" w:color="auto" w:fill="auto"/>
            <w:vAlign w:val="bottom"/>
            <w:hideMark/>
          </w:tcPr>
          <w:p w14:paraId="4349595C"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Verbraucher-preisindex</w:t>
            </w:r>
          </w:p>
        </w:tc>
        <w:tc>
          <w:tcPr>
            <w:tcW w:w="2333" w:type="dxa"/>
            <w:gridSpan w:val="2"/>
            <w:tcBorders>
              <w:top w:val="single" w:sz="4" w:space="0" w:color="auto"/>
              <w:left w:val="nil"/>
              <w:bottom w:val="single" w:sz="8" w:space="0" w:color="auto"/>
              <w:right w:val="double" w:sz="6" w:space="0" w:color="000000"/>
            </w:tcBorders>
            <w:shd w:val="clear" w:color="auto" w:fill="auto"/>
            <w:vAlign w:val="center"/>
            <w:hideMark/>
          </w:tcPr>
          <w:p w14:paraId="6FF600CD" w14:textId="17BDE01F"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Mindestabstandsgebot</w:t>
            </w:r>
          </w:p>
        </w:tc>
      </w:tr>
      <w:tr w:rsidR="002F642F" w:rsidRPr="002F642F" w14:paraId="376BC288"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7A961803"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2016</w:t>
            </w:r>
          </w:p>
        </w:tc>
        <w:tc>
          <w:tcPr>
            <w:tcW w:w="1256" w:type="dxa"/>
            <w:tcBorders>
              <w:top w:val="nil"/>
              <w:left w:val="nil"/>
              <w:bottom w:val="nil"/>
              <w:right w:val="single" w:sz="4" w:space="0" w:color="auto"/>
            </w:tcBorders>
            <w:shd w:val="clear" w:color="auto" w:fill="auto"/>
            <w:noWrap/>
            <w:vAlign w:val="bottom"/>
            <w:hideMark/>
          </w:tcPr>
          <w:p w14:paraId="6B242406" w14:textId="70344288"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8,40</w:t>
            </w:r>
            <w:r w:rsidR="00CF67C5"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6486DA9C" w14:textId="1CCE2582"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3,88</w:t>
            </w:r>
            <w:r w:rsidR="00CF67C5"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247D8A2F" w14:textId="70BCF2A2"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3,34</w:t>
            </w:r>
            <w:r w:rsidR="00CF67C5"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7F2AFC0C"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2F14436F" w14:textId="397890D3"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D83EA0">
              <w:rPr>
                <w:rFonts w:ascii="Arial" w:hAnsi="Arial" w:cs="Arial"/>
                <w:sz w:val="18"/>
                <w:szCs w:val="18"/>
              </w:rPr>
              <w:t>8</w:t>
            </w:r>
            <w:r w:rsidR="00CF67C5" w:rsidRPr="002F642F">
              <w:rPr>
                <w:rFonts w:ascii="Arial" w:hAnsi="Arial" w:cs="Arial"/>
                <w:sz w:val="18"/>
                <w:szCs w:val="18"/>
              </w:rPr>
              <w:t xml:space="preserve"> %</w:t>
            </w:r>
            <w:r w:rsidRPr="002F642F">
              <w:rPr>
                <w:rFonts w:ascii="Arial" w:hAnsi="Arial" w:cs="Arial"/>
                <w:sz w:val="18"/>
                <w:szCs w:val="18"/>
              </w:rPr>
              <w:t>/</w:t>
            </w:r>
            <w:r w:rsidR="00D83EA0">
              <w:rPr>
                <w:rFonts w:ascii="Arial" w:hAnsi="Arial" w:cs="Arial"/>
                <w:sz w:val="18"/>
                <w:szCs w:val="18"/>
              </w:rPr>
              <w:t>30</w:t>
            </w:r>
            <w:r w:rsidR="00CF67C5" w:rsidRPr="002F642F">
              <w:rPr>
                <w:rFonts w:ascii="Arial" w:hAnsi="Arial" w:cs="Arial"/>
                <w:sz w:val="18"/>
                <w:szCs w:val="18"/>
              </w:rPr>
              <w:t xml:space="preserve"> %</w:t>
            </w:r>
          </w:p>
        </w:tc>
      </w:tr>
      <w:tr w:rsidR="002F642F" w:rsidRPr="002F642F" w14:paraId="635A80EC"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3C12A0A4"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2017</w:t>
            </w:r>
          </w:p>
        </w:tc>
        <w:tc>
          <w:tcPr>
            <w:tcW w:w="1256" w:type="dxa"/>
            <w:tcBorders>
              <w:top w:val="nil"/>
              <w:left w:val="nil"/>
              <w:bottom w:val="nil"/>
              <w:right w:val="single" w:sz="4" w:space="0" w:color="auto"/>
            </w:tcBorders>
            <w:shd w:val="clear" w:color="auto" w:fill="auto"/>
            <w:noWrap/>
            <w:vAlign w:val="bottom"/>
            <w:hideMark/>
          </w:tcPr>
          <w:p w14:paraId="31A98720" w14:textId="55E5276C"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9,93</w:t>
            </w:r>
            <w:r w:rsidR="00CF67C5"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4FB19E68" w14:textId="261236FD"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5,22</w:t>
            </w:r>
            <w:r w:rsidR="00CF67C5"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6C16D611" w14:textId="0CD229C2"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2,95</w:t>
            </w:r>
            <w:r w:rsidR="00CF67C5"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431F45A8"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21C0250F" w14:textId="0339DA6E"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D83EA0">
              <w:rPr>
                <w:rFonts w:ascii="Arial" w:hAnsi="Arial" w:cs="Arial"/>
                <w:sz w:val="18"/>
                <w:szCs w:val="18"/>
              </w:rPr>
              <w:t>7</w:t>
            </w:r>
            <w:r w:rsidR="00CF67C5" w:rsidRPr="002F642F">
              <w:rPr>
                <w:rFonts w:ascii="Arial" w:hAnsi="Arial" w:cs="Arial"/>
                <w:sz w:val="18"/>
                <w:szCs w:val="18"/>
              </w:rPr>
              <w:t xml:space="preserve"> %</w:t>
            </w:r>
            <w:r w:rsidRPr="002F642F">
              <w:rPr>
                <w:rFonts w:ascii="Arial" w:hAnsi="Arial" w:cs="Arial"/>
                <w:sz w:val="18"/>
                <w:szCs w:val="18"/>
              </w:rPr>
              <w:t>/</w:t>
            </w:r>
            <w:r w:rsidR="00D83EA0">
              <w:rPr>
                <w:rFonts w:ascii="Arial" w:hAnsi="Arial" w:cs="Arial"/>
                <w:sz w:val="18"/>
                <w:szCs w:val="18"/>
              </w:rPr>
              <w:t>30</w:t>
            </w:r>
            <w:r w:rsidR="00CF67C5" w:rsidRPr="002F642F">
              <w:rPr>
                <w:rFonts w:ascii="Arial" w:hAnsi="Arial" w:cs="Arial"/>
                <w:sz w:val="18"/>
                <w:szCs w:val="18"/>
              </w:rPr>
              <w:t xml:space="preserve"> %</w:t>
            </w:r>
          </w:p>
        </w:tc>
      </w:tr>
      <w:tr w:rsidR="002F642F" w:rsidRPr="002F642F" w14:paraId="4CAF3C4A"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2210BAB9"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2018</w:t>
            </w:r>
          </w:p>
        </w:tc>
        <w:tc>
          <w:tcPr>
            <w:tcW w:w="1256" w:type="dxa"/>
            <w:tcBorders>
              <w:top w:val="nil"/>
              <w:left w:val="nil"/>
              <w:bottom w:val="nil"/>
              <w:right w:val="single" w:sz="4" w:space="0" w:color="auto"/>
            </w:tcBorders>
            <w:shd w:val="clear" w:color="auto" w:fill="auto"/>
            <w:noWrap/>
            <w:vAlign w:val="bottom"/>
            <w:hideMark/>
          </w:tcPr>
          <w:p w14:paraId="76D80EA4" w14:textId="7BDF2C1D"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2,75</w:t>
            </w:r>
            <w:r w:rsidR="00CF67C5"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59B695B3" w14:textId="22445C21"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1,24</w:t>
            </w:r>
            <w:r w:rsidR="00CF67C5"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4C99D210" w14:textId="7AC99C7E"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-2,38</w:t>
            </w:r>
            <w:r w:rsidR="00CF67C5"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441C8814"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159D400F" w14:textId="06F9E766"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D83EA0">
              <w:rPr>
                <w:rFonts w:ascii="Arial" w:hAnsi="Arial" w:cs="Arial"/>
                <w:sz w:val="18"/>
                <w:szCs w:val="18"/>
              </w:rPr>
              <w:t>5</w:t>
            </w:r>
            <w:r w:rsidR="00CF67C5" w:rsidRPr="002F642F">
              <w:rPr>
                <w:rFonts w:ascii="Arial" w:hAnsi="Arial" w:cs="Arial"/>
                <w:sz w:val="18"/>
                <w:szCs w:val="18"/>
              </w:rPr>
              <w:t xml:space="preserve"> %</w:t>
            </w:r>
            <w:r w:rsidRPr="002F642F">
              <w:rPr>
                <w:rFonts w:ascii="Arial" w:hAnsi="Arial" w:cs="Arial"/>
                <w:sz w:val="18"/>
                <w:szCs w:val="18"/>
              </w:rPr>
              <w:t>/2</w:t>
            </w:r>
            <w:r w:rsidR="00D83EA0">
              <w:rPr>
                <w:rFonts w:ascii="Arial" w:hAnsi="Arial" w:cs="Arial"/>
                <w:sz w:val="18"/>
                <w:szCs w:val="18"/>
              </w:rPr>
              <w:t>8</w:t>
            </w:r>
            <w:r w:rsidR="00CF67C5" w:rsidRPr="002F642F">
              <w:rPr>
                <w:rFonts w:ascii="Arial" w:hAnsi="Arial" w:cs="Arial"/>
                <w:sz w:val="18"/>
                <w:szCs w:val="18"/>
              </w:rPr>
              <w:t xml:space="preserve"> %</w:t>
            </w:r>
          </w:p>
        </w:tc>
      </w:tr>
      <w:tr w:rsidR="002F642F" w:rsidRPr="002F642F" w14:paraId="546FA778" w14:textId="77777777" w:rsidTr="00227A9E">
        <w:trPr>
          <w:trHeight w:val="288"/>
        </w:trPr>
        <w:tc>
          <w:tcPr>
            <w:tcW w:w="2003" w:type="dxa"/>
            <w:tcBorders>
              <w:top w:val="nil"/>
              <w:left w:val="double" w:sz="6" w:space="0" w:color="auto"/>
              <w:bottom w:val="nil"/>
              <w:right w:val="single" w:sz="4" w:space="0" w:color="auto"/>
            </w:tcBorders>
            <w:shd w:val="clear" w:color="auto" w:fill="D9D9D9" w:themeFill="background1" w:themeFillShade="D9"/>
            <w:noWrap/>
            <w:vAlign w:val="bottom"/>
            <w:hideMark/>
          </w:tcPr>
          <w:p w14:paraId="79A8CF9A"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2019</w:t>
            </w:r>
          </w:p>
        </w:tc>
        <w:tc>
          <w:tcPr>
            <w:tcW w:w="1256" w:type="dxa"/>
            <w:tcBorders>
              <w:top w:val="nil"/>
              <w:left w:val="nil"/>
              <w:bottom w:val="nil"/>
              <w:right w:val="single" w:sz="4" w:space="0" w:color="auto"/>
            </w:tcBorders>
            <w:shd w:val="clear" w:color="auto" w:fill="auto"/>
            <w:noWrap/>
            <w:vAlign w:val="bottom"/>
            <w:hideMark/>
          </w:tcPr>
          <w:p w14:paraId="5C31364A" w14:textId="5CEE0BD3"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1,49</w:t>
            </w:r>
            <w:r w:rsidR="00CF67C5" w:rsidRPr="002F642F">
              <w:rPr>
                <w:rFonts w:ascii="Arial" w:hAnsi="Arial" w:cs="Arial"/>
                <w:sz w:val="18"/>
                <w:szCs w:val="18"/>
              </w:rPr>
              <w:t xml:space="preserve"> %</w:t>
            </w:r>
          </w:p>
        </w:tc>
        <w:tc>
          <w:tcPr>
            <w:tcW w:w="1400" w:type="dxa"/>
            <w:tcBorders>
              <w:top w:val="nil"/>
              <w:left w:val="nil"/>
              <w:bottom w:val="nil"/>
              <w:right w:val="single" w:sz="4" w:space="0" w:color="auto"/>
            </w:tcBorders>
            <w:shd w:val="clear" w:color="auto" w:fill="auto"/>
            <w:noWrap/>
            <w:vAlign w:val="bottom"/>
            <w:hideMark/>
          </w:tcPr>
          <w:p w14:paraId="66FC8BB9" w14:textId="126CF61B"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2,67</w:t>
            </w:r>
            <w:r w:rsidR="00CF67C5" w:rsidRPr="002F642F">
              <w:rPr>
                <w:rFonts w:ascii="Arial" w:hAnsi="Arial" w:cs="Arial"/>
                <w:sz w:val="18"/>
                <w:szCs w:val="18"/>
              </w:rPr>
              <w:t xml:space="preserve"> %</w:t>
            </w:r>
          </w:p>
        </w:tc>
        <w:tc>
          <w:tcPr>
            <w:tcW w:w="1349" w:type="dxa"/>
            <w:tcBorders>
              <w:top w:val="nil"/>
              <w:left w:val="nil"/>
              <w:bottom w:val="nil"/>
              <w:right w:val="single" w:sz="4" w:space="0" w:color="auto"/>
            </w:tcBorders>
            <w:shd w:val="clear" w:color="auto" w:fill="auto"/>
            <w:noWrap/>
            <w:vAlign w:val="bottom"/>
            <w:hideMark/>
          </w:tcPr>
          <w:p w14:paraId="0189260E" w14:textId="56177C65"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-5,18</w:t>
            </w:r>
            <w:r w:rsidR="00CF67C5" w:rsidRPr="002F642F">
              <w:rPr>
                <w:rFonts w:ascii="Arial" w:hAnsi="Arial" w:cs="Arial"/>
                <w:sz w:val="18"/>
                <w:szCs w:val="18"/>
              </w:rPr>
              <w:t xml:space="preserve"> %</w:t>
            </w:r>
          </w:p>
        </w:tc>
        <w:tc>
          <w:tcPr>
            <w:tcW w:w="1240" w:type="dxa"/>
            <w:tcBorders>
              <w:top w:val="nil"/>
              <w:left w:val="nil"/>
              <w:bottom w:val="nil"/>
              <w:right w:val="nil"/>
            </w:tcBorders>
            <w:shd w:val="clear" w:color="auto" w:fill="auto"/>
            <w:noWrap/>
            <w:vAlign w:val="bottom"/>
            <w:hideMark/>
          </w:tcPr>
          <w:p w14:paraId="0585A581"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nil"/>
              <w:right w:val="double" w:sz="6" w:space="0" w:color="auto"/>
            </w:tcBorders>
            <w:shd w:val="clear" w:color="auto" w:fill="auto"/>
            <w:noWrap/>
            <w:vAlign w:val="bottom"/>
            <w:hideMark/>
          </w:tcPr>
          <w:p w14:paraId="732B051A" w14:textId="6FE22DA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2</w:t>
            </w:r>
            <w:r w:rsidR="00D83EA0">
              <w:rPr>
                <w:rFonts w:ascii="Arial" w:hAnsi="Arial" w:cs="Arial"/>
                <w:sz w:val="18"/>
                <w:szCs w:val="18"/>
              </w:rPr>
              <w:t>5</w:t>
            </w:r>
            <w:r w:rsidR="00CF67C5" w:rsidRPr="002F642F">
              <w:rPr>
                <w:rFonts w:ascii="Arial" w:hAnsi="Arial" w:cs="Arial"/>
                <w:sz w:val="18"/>
                <w:szCs w:val="18"/>
              </w:rPr>
              <w:t xml:space="preserve"> %</w:t>
            </w:r>
            <w:r w:rsidRPr="002F642F">
              <w:rPr>
                <w:rFonts w:ascii="Arial" w:hAnsi="Arial" w:cs="Arial"/>
                <w:sz w:val="18"/>
                <w:szCs w:val="18"/>
              </w:rPr>
              <w:t>/2</w:t>
            </w:r>
            <w:r w:rsidR="00D83EA0">
              <w:rPr>
                <w:rFonts w:ascii="Arial" w:hAnsi="Arial" w:cs="Arial"/>
                <w:sz w:val="18"/>
                <w:szCs w:val="18"/>
              </w:rPr>
              <w:t>7</w:t>
            </w:r>
            <w:r w:rsidR="00CF67C5" w:rsidRPr="002F642F">
              <w:rPr>
                <w:rFonts w:ascii="Arial" w:hAnsi="Arial" w:cs="Arial"/>
                <w:sz w:val="18"/>
                <w:szCs w:val="18"/>
              </w:rPr>
              <w:t xml:space="preserve"> %</w:t>
            </w:r>
          </w:p>
        </w:tc>
      </w:tr>
      <w:tr w:rsidR="002F642F" w:rsidRPr="002F642F" w14:paraId="0E6B5B7E" w14:textId="77777777" w:rsidTr="00227A9E">
        <w:trPr>
          <w:trHeight w:val="300"/>
        </w:trPr>
        <w:tc>
          <w:tcPr>
            <w:tcW w:w="2003" w:type="dxa"/>
            <w:tcBorders>
              <w:top w:val="nil"/>
              <w:left w:val="double" w:sz="6" w:space="0" w:color="auto"/>
              <w:bottom w:val="double" w:sz="6" w:space="0" w:color="auto"/>
              <w:right w:val="single" w:sz="4" w:space="0" w:color="auto"/>
            </w:tcBorders>
            <w:shd w:val="clear" w:color="auto" w:fill="D9D9D9" w:themeFill="background1" w:themeFillShade="D9"/>
            <w:noWrap/>
            <w:vAlign w:val="bottom"/>
            <w:hideMark/>
          </w:tcPr>
          <w:p w14:paraId="5A788C45" w14:textId="77777777" w:rsidR="00192F5A" w:rsidRPr="002F642F" w:rsidRDefault="00192F5A" w:rsidP="00192F5A">
            <w:pPr>
              <w:overflowPunct/>
              <w:autoSpaceDE/>
              <w:autoSpaceDN/>
              <w:adjustRightInd/>
              <w:jc w:val="center"/>
              <w:textAlignment w:val="auto"/>
              <w:rPr>
                <w:rFonts w:ascii="Arial" w:hAnsi="Arial" w:cs="Arial"/>
                <w:b/>
                <w:bCs/>
                <w:sz w:val="18"/>
                <w:szCs w:val="18"/>
              </w:rPr>
            </w:pPr>
            <w:r w:rsidRPr="002F642F">
              <w:rPr>
                <w:rFonts w:ascii="Arial" w:hAnsi="Arial" w:cs="Arial"/>
                <w:b/>
                <w:bCs/>
                <w:sz w:val="18"/>
                <w:szCs w:val="18"/>
              </w:rPr>
              <w:t>2020</w:t>
            </w:r>
          </w:p>
        </w:tc>
        <w:tc>
          <w:tcPr>
            <w:tcW w:w="1256" w:type="dxa"/>
            <w:tcBorders>
              <w:top w:val="nil"/>
              <w:left w:val="nil"/>
              <w:bottom w:val="double" w:sz="6" w:space="0" w:color="auto"/>
              <w:right w:val="single" w:sz="4" w:space="0" w:color="auto"/>
            </w:tcBorders>
            <w:shd w:val="clear" w:color="auto" w:fill="auto"/>
            <w:noWrap/>
            <w:vAlign w:val="bottom"/>
            <w:hideMark/>
          </w:tcPr>
          <w:p w14:paraId="5DAA1F90" w14:textId="7D7915D0"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0,34</w:t>
            </w:r>
            <w:r w:rsidR="00CF67C5" w:rsidRPr="002F642F">
              <w:rPr>
                <w:rFonts w:ascii="Arial" w:hAnsi="Arial" w:cs="Arial"/>
                <w:sz w:val="18"/>
                <w:szCs w:val="18"/>
              </w:rPr>
              <w:t xml:space="preserve"> %</w:t>
            </w:r>
          </w:p>
        </w:tc>
        <w:tc>
          <w:tcPr>
            <w:tcW w:w="1400" w:type="dxa"/>
            <w:tcBorders>
              <w:top w:val="nil"/>
              <w:left w:val="nil"/>
              <w:bottom w:val="double" w:sz="6" w:space="0" w:color="auto"/>
              <w:right w:val="single" w:sz="4" w:space="0" w:color="auto"/>
            </w:tcBorders>
            <w:shd w:val="clear" w:color="auto" w:fill="auto"/>
            <w:noWrap/>
            <w:vAlign w:val="bottom"/>
            <w:hideMark/>
          </w:tcPr>
          <w:p w14:paraId="6289B1C0" w14:textId="5EA1377A"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-0,48</w:t>
            </w:r>
            <w:r w:rsidR="00CF67C5" w:rsidRPr="002F642F">
              <w:rPr>
                <w:rFonts w:ascii="Arial" w:hAnsi="Arial" w:cs="Arial"/>
                <w:sz w:val="18"/>
                <w:szCs w:val="18"/>
              </w:rPr>
              <w:t xml:space="preserve"> %</w:t>
            </w:r>
          </w:p>
        </w:tc>
        <w:tc>
          <w:tcPr>
            <w:tcW w:w="1349" w:type="dxa"/>
            <w:tcBorders>
              <w:top w:val="nil"/>
              <w:left w:val="nil"/>
              <w:bottom w:val="double" w:sz="6" w:space="0" w:color="auto"/>
              <w:right w:val="single" w:sz="4" w:space="0" w:color="auto"/>
            </w:tcBorders>
            <w:shd w:val="clear" w:color="auto" w:fill="auto"/>
            <w:noWrap/>
            <w:vAlign w:val="bottom"/>
            <w:hideMark/>
          </w:tcPr>
          <w:p w14:paraId="5774F5CE" w14:textId="0DF5437D"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-9,90</w:t>
            </w:r>
            <w:r w:rsidR="00CF67C5" w:rsidRPr="002F642F">
              <w:rPr>
                <w:rFonts w:ascii="Arial" w:hAnsi="Arial" w:cs="Arial"/>
                <w:sz w:val="18"/>
                <w:szCs w:val="18"/>
              </w:rPr>
              <w:t xml:space="preserve"> %</w:t>
            </w:r>
          </w:p>
        </w:tc>
        <w:tc>
          <w:tcPr>
            <w:tcW w:w="1240" w:type="dxa"/>
            <w:tcBorders>
              <w:top w:val="nil"/>
              <w:left w:val="nil"/>
              <w:bottom w:val="double" w:sz="6" w:space="0" w:color="auto"/>
              <w:right w:val="nil"/>
            </w:tcBorders>
            <w:shd w:val="clear" w:color="auto" w:fill="auto"/>
            <w:noWrap/>
            <w:vAlign w:val="bottom"/>
            <w:hideMark/>
          </w:tcPr>
          <w:p w14:paraId="3D06BE9F" w14:textId="77777777" w:rsidR="00192F5A" w:rsidRPr="002F642F" w:rsidRDefault="00192F5A" w:rsidP="00192F5A">
            <w:pPr>
              <w:overflowPunct/>
              <w:autoSpaceDE/>
              <w:autoSpaceDN/>
              <w:adjustRightInd/>
              <w:jc w:val="center"/>
              <w:textAlignment w:val="auto"/>
              <w:rPr>
                <w:rFonts w:ascii="Arial" w:hAnsi="Arial" w:cs="Arial"/>
                <w:sz w:val="18"/>
                <w:szCs w:val="18"/>
              </w:rPr>
            </w:pPr>
            <w:r w:rsidRPr="002F642F">
              <w:rPr>
                <w:rFonts w:ascii="Arial" w:hAnsi="Arial" w:cs="Arial"/>
                <w:sz w:val="18"/>
                <w:szCs w:val="18"/>
              </w:rPr>
              <w:t>verletzt</w:t>
            </w:r>
          </w:p>
        </w:tc>
        <w:tc>
          <w:tcPr>
            <w:tcW w:w="1093" w:type="dxa"/>
            <w:tcBorders>
              <w:top w:val="nil"/>
              <w:left w:val="nil"/>
              <w:bottom w:val="double" w:sz="6" w:space="0" w:color="auto"/>
              <w:right w:val="double" w:sz="6" w:space="0" w:color="auto"/>
            </w:tcBorders>
            <w:shd w:val="clear" w:color="auto" w:fill="auto"/>
            <w:noWrap/>
            <w:vAlign w:val="bottom"/>
            <w:hideMark/>
          </w:tcPr>
          <w:p w14:paraId="46CBAAFC" w14:textId="301B0251" w:rsidR="00192F5A" w:rsidRPr="002F642F" w:rsidRDefault="00D83EA0" w:rsidP="00192F5A">
            <w:pPr>
              <w:overflowPunct/>
              <w:autoSpaceDE/>
              <w:autoSpaceDN/>
              <w:adjustRightInd/>
              <w:jc w:val="center"/>
              <w:textAlignment w:val="auto"/>
              <w:rPr>
                <w:rFonts w:ascii="Arial" w:hAnsi="Arial" w:cs="Arial"/>
                <w:sz w:val="18"/>
                <w:szCs w:val="18"/>
              </w:rPr>
            </w:pPr>
            <w:r>
              <w:rPr>
                <w:rFonts w:ascii="Arial" w:hAnsi="Arial" w:cs="Arial"/>
                <w:sz w:val="18"/>
                <w:szCs w:val="18"/>
              </w:rPr>
              <w:t>22</w:t>
            </w:r>
            <w:r w:rsidR="00CF67C5" w:rsidRPr="002F642F">
              <w:rPr>
                <w:rFonts w:ascii="Arial" w:hAnsi="Arial" w:cs="Arial"/>
                <w:sz w:val="18"/>
                <w:szCs w:val="18"/>
              </w:rPr>
              <w:t xml:space="preserve"> %</w:t>
            </w:r>
            <w:r w:rsidR="00192F5A" w:rsidRPr="002F642F">
              <w:rPr>
                <w:rFonts w:ascii="Arial" w:hAnsi="Arial" w:cs="Arial"/>
                <w:sz w:val="18"/>
                <w:szCs w:val="18"/>
              </w:rPr>
              <w:t>/2</w:t>
            </w:r>
            <w:r>
              <w:rPr>
                <w:rFonts w:ascii="Arial" w:hAnsi="Arial" w:cs="Arial"/>
                <w:sz w:val="18"/>
                <w:szCs w:val="18"/>
              </w:rPr>
              <w:t>4</w:t>
            </w:r>
            <w:r w:rsidR="00CF67C5" w:rsidRPr="002F642F">
              <w:rPr>
                <w:rFonts w:ascii="Arial" w:hAnsi="Arial" w:cs="Arial"/>
                <w:sz w:val="18"/>
                <w:szCs w:val="18"/>
              </w:rPr>
              <w:t xml:space="preserve"> %</w:t>
            </w:r>
          </w:p>
        </w:tc>
      </w:tr>
    </w:tbl>
    <w:p w14:paraId="1255CCED" w14:textId="77777777" w:rsidR="003239E1" w:rsidRDefault="003239E1"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371A353" w14:textId="612A9AC7" w:rsidR="000B64D6" w:rsidRDefault="000B64D6"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0B64D6">
        <w:rPr>
          <w:rFonts w:ascii="Arial" w:eastAsia="Calibri" w:hAnsi="Arial" w:cs="Arial"/>
          <w:sz w:val="24"/>
          <w:szCs w:val="24"/>
          <w:lang w:eastAsia="en-US"/>
        </w:rPr>
        <w:t xml:space="preserve">Die </w:t>
      </w:r>
      <w:r w:rsidR="00825000">
        <w:rPr>
          <w:rFonts w:ascii="Arial" w:eastAsia="Calibri" w:hAnsi="Arial" w:cs="Arial"/>
          <w:sz w:val="24"/>
          <w:szCs w:val="24"/>
          <w:lang w:eastAsia="en-US"/>
        </w:rPr>
        <w:t>B</w:t>
      </w:r>
      <w:r w:rsidR="00825000" w:rsidRPr="000B64D6">
        <w:rPr>
          <w:rFonts w:ascii="Arial" w:eastAsia="Calibri" w:hAnsi="Arial" w:cs="Arial"/>
          <w:sz w:val="24"/>
          <w:szCs w:val="24"/>
          <w:lang w:eastAsia="en-US"/>
        </w:rPr>
        <w:t xml:space="preserve">etrachtung </w:t>
      </w:r>
      <w:r w:rsidRPr="000B64D6">
        <w:rPr>
          <w:rFonts w:ascii="Arial" w:eastAsia="Calibri" w:hAnsi="Arial" w:cs="Arial"/>
          <w:sz w:val="24"/>
          <w:szCs w:val="24"/>
          <w:lang w:eastAsia="en-US"/>
        </w:rPr>
        <w:t xml:space="preserve">der Parameter auf der </w:t>
      </w:r>
      <w:r w:rsidRPr="00E94361">
        <w:rPr>
          <w:rFonts w:ascii="Arial" w:eastAsia="Calibri" w:hAnsi="Arial" w:cs="Arial"/>
          <w:b/>
          <w:sz w:val="24"/>
          <w:szCs w:val="24"/>
          <w:lang w:eastAsia="en-US"/>
        </w:rPr>
        <w:t>ersten Prüfungsstufe</w:t>
      </w:r>
      <w:r w:rsidRPr="000B64D6">
        <w:rPr>
          <w:rFonts w:ascii="Arial" w:eastAsia="Calibri" w:hAnsi="Arial" w:cs="Arial"/>
          <w:sz w:val="24"/>
          <w:szCs w:val="24"/>
          <w:lang w:eastAsia="en-US"/>
        </w:rPr>
        <w:t xml:space="preserve"> begründet </w:t>
      </w:r>
      <w:r w:rsidR="00535322">
        <w:rPr>
          <w:rFonts w:ascii="Arial" w:eastAsia="Calibri" w:hAnsi="Arial" w:cs="Arial"/>
          <w:sz w:val="24"/>
          <w:szCs w:val="24"/>
          <w:lang w:eastAsia="en-US"/>
        </w:rPr>
        <w:t xml:space="preserve">nach alledem </w:t>
      </w:r>
      <w:r w:rsidRPr="000B64D6">
        <w:rPr>
          <w:rFonts w:ascii="Arial" w:eastAsia="Calibri" w:hAnsi="Arial" w:cs="Arial"/>
          <w:sz w:val="24"/>
          <w:szCs w:val="24"/>
          <w:lang w:eastAsia="en-US"/>
        </w:rPr>
        <w:t>die Vermutung, dass im Land Berlin die Grundgehaltssätze der Besoldungsgruppen R 1 und R</w:t>
      </w:r>
      <w:r w:rsidR="008E66C6">
        <w:rPr>
          <w:rFonts w:ascii="Arial" w:eastAsia="Calibri" w:hAnsi="Arial" w:cs="Arial"/>
          <w:sz w:val="24"/>
          <w:szCs w:val="24"/>
          <w:lang w:eastAsia="en-US"/>
        </w:rPr>
        <w:t> </w:t>
      </w:r>
      <w:r w:rsidRPr="000B64D6">
        <w:rPr>
          <w:rFonts w:ascii="Arial" w:eastAsia="Calibri" w:hAnsi="Arial" w:cs="Arial"/>
          <w:sz w:val="24"/>
          <w:szCs w:val="24"/>
          <w:lang w:eastAsia="en-US"/>
        </w:rPr>
        <w:t>2 in den Jahren 2016 bis 2020 das Mindestmaß amtsangemessener Alimentation unterschritten haben.</w:t>
      </w:r>
    </w:p>
    <w:p w14:paraId="4F490E16" w14:textId="77777777" w:rsidR="000B64D6" w:rsidRPr="002F642F" w:rsidRDefault="000B64D6"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0A355D3" w14:textId="53C39BB6" w:rsidR="003239E1" w:rsidRPr="003239E1" w:rsidRDefault="003239E1"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2F642F">
        <w:rPr>
          <w:rFonts w:ascii="Arial" w:eastAsia="Calibri" w:hAnsi="Arial" w:cs="Arial"/>
          <w:sz w:val="24"/>
          <w:szCs w:val="24"/>
          <w:lang w:eastAsia="en-US"/>
        </w:rPr>
        <w:t>2</w:t>
      </w:r>
      <w:r w:rsidR="00837F41" w:rsidRPr="002F642F">
        <w:rPr>
          <w:rFonts w:ascii="Arial" w:eastAsia="Calibri" w:hAnsi="Arial" w:cs="Arial"/>
          <w:sz w:val="24"/>
          <w:szCs w:val="24"/>
          <w:lang w:eastAsia="en-US"/>
        </w:rPr>
        <w:t>.</w:t>
      </w:r>
      <w:r w:rsidR="00D95FBE">
        <w:rPr>
          <w:rFonts w:ascii="Arial" w:eastAsia="Calibri" w:hAnsi="Arial" w:cs="Arial"/>
          <w:sz w:val="24"/>
          <w:szCs w:val="24"/>
          <w:lang w:eastAsia="en-US"/>
        </w:rPr>
        <w:t xml:space="preserve"> </w:t>
      </w:r>
      <w:r w:rsidRPr="003239E1">
        <w:rPr>
          <w:rFonts w:ascii="Arial" w:eastAsia="Calibri" w:hAnsi="Arial" w:cs="Arial"/>
          <w:sz w:val="24"/>
          <w:szCs w:val="24"/>
          <w:lang w:eastAsia="en-US"/>
        </w:rPr>
        <w:t xml:space="preserve">Die </w:t>
      </w:r>
      <w:r w:rsidR="00221B6F">
        <w:rPr>
          <w:rFonts w:ascii="Arial" w:eastAsia="Calibri" w:hAnsi="Arial" w:cs="Arial"/>
          <w:sz w:val="24"/>
          <w:szCs w:val="24"/>
          <w:lang w:eastAsia="en-US"/>
        </w:rPr>
        <w:t xml:space="preserve">– auch bei Verletzung nur eines der Parameter – </w:t>
      </w:r>
      <w:r w:rsidR="007A16BF">
        <w:rPr>
          <w:rFonts w:ascii="Arial" w:eastAsia="Calibri" w:hAnsi="Arial" w:cs="Arial"/>
          <w:sz w:val="24"/>
          <w:szCs w:val="24"/>
          <w:lang w:eastAsia="en-US"/>
        </w:rPr>
        <w:t xml:space="preserve">auf der </w:t>
      </w:r>
      <w:r w:rsidR="007A16BF" w:rsidRPr="007A16BF">
        <w:rPr>
          <w:rFonts w:ascii="Arial" w:eastAsia="Calibri" w:hAnsi="Arial" w:cs="Arial"/>
          <w:b/>
          <w:bCs/>
          <w:sz w:val="24"/>
          <w:szCs w:val="24"/>
          <w:lang w:eastAsia="en-US"/>
        </w:rPr>
        <w:t xml:space="preserve">zweiten </w:t>
      </w:r>
      <w:r w:rsidR="00FE33E7">
        <w:rPr>
          <w:rFonts w:ascii="Arial" w:eastAsia="Calibri" w:hAnsi="Arial" w:cs="Arial"/>
          <w:b/>
          <w:bCs/>
          <w:sz w:val="24"/>
          <w:szCs w:val="24"/>
          <w:lang w:eastAsia="en-US"/>
        </w:rPr>
        <w:t>Prüfungss</w:t>
      </w:r>
      <w:r w:rsidR="007A16BF" w:rsidRPr="007A16BF">
        <w:rPr>
          <w:rFonts w:ascii="Arial" w:eastAsia="Calibri" w:hAnsi="Arial" w:cs="Arial"/>
          <w:b/>
          <w:bCs/>
          <w:sz w:val="24"/>
          <w:szCs w:val="24"/>
          <w:lang w:eastAsia="en-US"/>
        </w:rPr>
        <w:t>tufe</w:t>
      </w:r>
      <w:r w:rsidR="007A16BF">
        <w:rPr>
          <w:rFonts w:ascii="Arial" w:eastAsia="Calibri" w:hAnsi="Arial" w:cs="Arial"/>
          <w:sz w:val="24"/>
          <w:szCs w:val="24"/>
          <w:lang w:eastAsia="en-US"/>
        </w:rPr>
        <w:t xml:space="preserve"> durchzuführende </w:t>
      </w:r>
      <w:r w:rsidRPr="003239E1">
        <w:rPr>
          <w:rFonts w:ascii="Arial" w:eastAsia="Calibri" w:hAnsi="Arial" w:cs="Arial"/>
          <w:sz w:val="24"/>
          <w:szCs w:val="24"/>
          <w:lang w:eastAsia="en-US"/>
        </w:rPr>
        <w:t>Gesamtabwägung unter Einbeziehung weiterer alimentationsrechtlicher Determinanten bestätigt diese Vermutung.</w:t>
      </w:r>
    </w:p>
    <w:p w14:paraId="1BC3270F" w14:textId="77777777" w:rsidR="003239E1" w:rsidRPr="003239E1" w:rsidRDefault="003239E1"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367EF6B3" w14:textId="78252675" w:rsidR="00AC355C" w:rsidRDefault="003239E1"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239E1">
        <w:rPr>
          <w:rFonts w:ascii="Arial" w:eastAsia="Calibri" w:hAnsi="Arial" w:cs="Arial"/>
          <w:sz w:val="24"/>
          <w:szCs w:val="24"/>
          <w:lang w:eastAsia="en-US"/>
        </w:rPr>
        <w:t xml:space="preserve">a) </w:t>
      </w:r>
      <w:r w:rsidR="00ED0B13">
        <w:rPr>
          <w:rFonts w:ascii="Arial" w:eastAsia="Calibri" w:hAnsi="Arial" w:cs="Arial"/>
          <w:sz w:val="24"/>
          <w:szCs w:val="24"/>
          <w:lang w:eastAsia="en-US"/>
        </w:rPr>
        <w:t xml:space="preserve">Im Jahr </w:t>
      </w:r>
      <w:r w:rsidR="00DD63BF">
        <w:rPr>
          <w:rFonts w:ascii="Arial" w:eastAsia="Calibri" w:hAnsi="Arial" w:cs="Arial"/>
          <w:sz w:val="24"/>
          <w:szCs w:val="24"/>
          <w:lang w:eastAsia="en-US"/>
        </w:rPr>
        <w:t xml:space="preserve">2016 </w:t>
      </w:r>
      <w:bookmarkStart w:id="26" w:name="_Hlk89851061"/>
      <w:r w:rsidR="00457DCC">
        <w:rPr>
          <w:rFonts w:ascii="Arial" w:eastAsia="Calibri" w:hAnsi="Arial" w:cs="Arial"/>
          <w:sz w:val="24"/>
          <w:szCs w:val="24"/>
          <w:lang w:eastAsia="en-US"/>
        </w:rPr>
        <w:t>sind die Parameter</w:t>
      </w:r>
      <w:r w:rsidR="00457DCC" w:rsidRPr="00457DCC">
        <w:t xml:space="preserve"> </w:t>
      </w:r>
      <w:r w:rsidR="00457DCC" w:rsidRPr="00457DCC">
        <w:rPr>
          <w:rFonts w:ascii="Arial" w:eastAsia="Calibri" w:hAnsi="Arial" w:cs="Arial"/>
          <w:sz w:val="24"/>
          <w:szCs w:val="24"/>
          <w:lang w:eastAsia="en-US"/>
        </w:rPr>
        <w:t>Tariflohnindex</w:t>
      </w:r>
      <w:r w:rsidR="00457DCC">
        <w:rPr>
          <w:rFonts w:ascii="Arial" w:eastAsia="Calibri" w:hAnsi="Arial" w:cs="Arial"/>
          <w:sz w:val="24"/>
          <w:szCs w:val="24"/>
          <w:lang w:eastAsia="en-US"/>
        </w:rPr>
        <w:t xml:space="preserve"> </w:t>
      </w:r>
      <w:r w:rsidR="00457DCC" w:rsidRPr="00457DCC">
        <w:rPr>
          <w:rFonts w:ascii="Arial" w:eastAsia="Calibri" w:hAnsi="Arial" w:cs="Arial"/>
          <w:sz w:val="24"/>
          <w:szCs w:val="24"/>
          <w:lang w:eastAsia="en-US"/>
        </w:rPr>
        <w:t>und Mindestabstandsgebot</w:t>
      </w:r>
      <w:r w:rsidR="00457DCC">
        <w:rPr>
          <w:rFonts w:ascii="Arial" w:eastAsia="Calibri" w:hAnsi="Arial" w:cs="Arial"/>
          <w:sz w:val="24"/>
          <w:szCs w:val="24"/>
          <w:lang w:eastAsia="en-US"/>
        </w:rPr>
        <w:t xml:space="preserve"> erheblich verletzt, </w:t>
      </w:r>
      <w:r w:rsidR="00FC64BF">
        <w:rPr>
          <w:rFonts w:ascii="Arial" w:eastAsia="Calibri" w:hAnsi="Arial" w:cs="Arial"/>
          <w:sz w:val="24"/>
          <w:szCs w:val="24"/>
          <w:lang w:eastAsia="en-US"/>
        </w:rPr>
        <w:t>d</w:t>
      </w:r>
      <w:r w:rsidR="00474078">
        <w:rPr>
          <w:rFonts w:ascii="Arial" w:eastAsia="Calibri" w:hAnsi="Arial" w:cs="Arial"/>
          <w:sz w:val="24"/>
          <w:szCs w:val="24"/>
          <w:lang w:eastAsia="en-US"/>
        </w:rPr>
        <w:t>ie</w:t>
      </w:r>
      <w:r w:rsidR="00FC64BF">
        <w:rPr>
          <w:rFonts w:ascii="Arial" w:eastAsia="Calibri" w:hAnsi="Arial" w:cs="Arial"/>
          <w:sz w:val="24"/>
          <w:szCs w:val="24"/>
          <w:lang w:eastAsia="en-US"/>
        </w:rPr>
        <w:t xml:space="preserve"> Parameter Nominallohnindex </w:t>
      </w:r>
      <w:r w:rsidR="00474078">
        <w:rPr>
          <w:rFonts w:ascii="Arial" w:eastAsia="Calibri" w:hAnsi="Arial" w:cs="Arial"/>
          <w:sz w:val="24"/>
          <w:szCs w:val="24"/>
          <w:lang w:eastAsia="en-US"/>
        </w:rPr>
        <w:t xml:space="preserve">und Verbraucherpreisindex </w:t>
      </w:r>
      <w:r w:rsidR="000F756F">
        <w:rPr>
          <w:rFonts w:ascii="Arial" w:eastAsia="Calibri" w:hAnsi="Arial" w:cs="Arial"/>
          <w:sz w:val="24"/>
          <w:szCs w:val="24"/>
          <w:lang w:eastAsia="en-US"/>
        </w:rPr>
        <w:t xml:space="preserve">nur </w:t>
      </w:r>
      <w:r w:rsidR="00CF5B93">
        <w:rPr>
          <w:rFonts w:ascii="Arial" w:eastAsia="Calibri" w:hAnsi="Arial" w:cs="Arial"/>
          <w:sz w:val="24"/>
          <w:szCs w:val="24"/>
          <w:lang w:eastAsia="en-US"/>
        </w:rPr>
        <w:t xml:space="preserve">bei </w:t>
      </w:r>
      <w:r w:rsidR="00CF5B93" w:rsidRPr="00CF5B93">
        <w:rPr>
          <w:rFonts w:ascii="Arial" w:eastAsia="Calibri" w:hAnsi="Arial" w:cs="Arial"/>
          <w:sz w:val="24"/>
          <w:szCs w:val="24"/>
          <w:lang w:eastAsia="en-US"/>
        </w:rPr>
        <w:t>einer vereinfachten rechnerischen Betrachtung</w:t>
      </w:r>
      <w:r w:rsidR="00C543B5">
        <w:rPr>
          <w:rFonts w:ascii="Arial" w:eastAsia="Calibri" w:hAnsi="Arial" w:cs="Arial"/>
          <w:sz w:val="24"/>
          <w:szCs w:val="24"/>
          <w:lang w:eastAsia="en-US"/>
        </w:rPr>
        <w:t xml:space="preserve"> </w:t>
      </w:r>
      <w:r w:rsidR="00CF5B93">
        <w:rPr>
          <w:rFonts w:ascii="Arial" w:eastAsia="Calibri" w:hAnsi="Arial" w:cs="Arial"/>
          <w:sz w:val="24"/>
          <w:szCs w:val="24"/>
          <w:lang w:eastAsia="en-US"/>
        </w:rPr>
        <w:t xml:space="preserve">(noch) nicht. </w:t>
      </w:r>
    </w:p>
    <w:p w14:paraId="6CE26781" w14:textId="77777777" w:rsidR="00AC355C" w:rsidRDefault="00AC355C"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p>
    <w:bookmarkEnd w:id="26"/>
    <w:p w14:paraId="2B06EE4B" w14:textId="1A4D39B0" w:rsidR="001357FC" w:rsidRDefault="006C4774"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aa) </w:t>
      </w:r>
      <w:r w:rsidR="00347750">
        <w:rPr>
          <w:rFonts w:ascii="Arial" w:eastAsia="Calibri" w:hAnsi="Arial" w:cs="Arial"/>
          <w:sz w:val="24"/>
          <w:szCs w:val="24"/>
          <w:lang w:eastAsia="en-US"/>
        </w:rPr>
        <w:t xml:space="preserve">Sofern </w:t>
      </w:r>
      <w:r w:rsidR="00EE2B8F">
        <w:rPr>
          <w:rFonts w:ascii="Arial" w:eastAsia="Calibri" w:hAnsi="Arial" w:cs="Arial"/>
          <w:sz w:val="24"/>
          <w:szCs w:val="24"/>
          <w:lang w:eastAsia="en-US"/>
        </w:rPr>
        <w:t>sich eine Verletzung der Prüfparame</w:t>
      </w:r>
      <w:r w:rsidR="005D6E3E">
        <w:rPr>
          <w:rFonts w:ascii="Arial" w:eastAsia="Calibri" w:hAnsi="Arial" w:cs="Arial"/>
          <w:sz w:val="24"/>
          <w:szCs w:val="24"/>
          <w:lang w:eastAsia="en-US"/>
        </w:rPr>
        <w:t>ter</w:t>
      </w:r>
      <w:r w:rsidR="00EE2B8F">
        <w:rPr>
          <w:rFonts w:ascii="Arial" w:eastAsia="Calibri" w:hAnsi="Arial" w:cs="Arial"/>
          <w:sz w:val="24"/>
          <w:szCs w:val="24"/>
          <w:lang w:eastAsia="en-US"/>
        </w:rPr>
        <w:t xml:space="preserve"> nicht bereits auf Grundlage der vereinfachten Berechnung ergibt</w:t>
      </w:r>
      <w:r w:rsidR="003239E1" w:rsidRPr="003239E1">
        <w:rPr>
          <w:rFonts w:ascii="Arial" w:eastAsia="Calibri" w:hAnsi="Arial" w:cs="Arial"/>
          <w:sz w:val="24"/>
          <w:szCs w:val="24"/>
          <w:lang w:eastAsia="en-US"/>
        </w:rPr>
        <w:t xml:space="preserve">, </w:t>
      </w:r>
      <w:r w:rsidR="00542392">
        <w:rPr>
          <w:rFonts w:ascii="Arial" w:eastAsia="Calibri" w:hAnsi="Arial" w:cs="Arial"/>
          <w:sz w:val="24"/>
          <w:szCs w:val="24"/>
          <w:lang w:eastAsia="en-US"/>
        </w:rPr>
        <w:t>ist</w:t>
      </w:r>
      <w:r w:rsidR="003239E1" w:rsidRPr="003239E1">
        <w:rPr>
          <w:rFonts w:ascii="Arial" w:eastAsia="Calibri" w:hAnsi="Arial" w:cs="Arial"/>
          <w:sz w:val="24"/>
          <w:szCs w:val="24"/>
          <w:lang w:eastAsia="en-US"/>
        </w:rPr>
        <w:t xml:space="preserve"> es </w:t>
      </w:r>
      <w:r w:rsidR="00EE2B8F">
        <w:rPr>
          <w:rFonts w:ascii="Arial" w:eastAsia="Calibri" w:hAnsi="Arial" w:cs="Arial"/>
          <w:sz w:val="24"/>
          <w:szCs w:val="24"/>
          <w:lang w:eastAsia="en-US"/>
        </w:rPr>
        <w:t xml:space="preserve">nach der Rechtsprechung des </w:t>
      </w:r>
      <w:r w:rsidR="006D0236">
        <w:rPr>
          <w:rFonts w:ascii="Arial" w:eastAsia="Calibri" w:hAnsi="Arial" w:cs="Arial"/>
          <w:sz w:val="24"/>
          <w:szCs w:val="24"/>
          <w:lang w:eastAsia="en-US"/>
        </w:rPr>
        <w:t xml:space="preserve">Bundesverfassungsgerichts </w:t>
      </w:r>
      <w:r w:rsidR="007614A1">
        <w:rPr>
          <w:rFonts w:ascii="Arial" w:eastAsia="Calibri" w:hAnsi="Arial" w:cs="Arial"/>
          <w:sz w:val="24"/>
          <w:szCs w:val="24"/>
          <w:lang w:eastAsia="en-US"/>
        </w:rPr>
        <w:t>(</w:t>
      </w:r>
      <w:r w:rsidR="000140AD" w:rsidRPr="00934904">
        <w:rPr>
          <w:rFonts w:ascii="Arial" w:eastAsia="Calibri" w:hAnsi="Arial" w:cs="Arial"/>
          <w:sz w:val="24"/>
          <w:szCs w:val="24"/>
          <w:lang w:eastAsia="en-US"/>
        </w:rPr>
        <w:t>BVerfG, Beschl</w:t>
      </w:r>
      <w:r w:rsidR="000140AD">
        <w:rPr>
          <w:rFonts w:ascii="Arial" w:eastAsia="Calibri" w:hAnsi="Arial" w:cs="Arial"/>
          <w:sz w:val="24"/>
          <w:szCs w:val="24"/>
          <w:lang w:eastAsia="en-US"/>
        </w:rPr>
        <w:t>.</w:t>
      </w:r>
      <w:r w:rsidR="000140AD" w:rsidRPr="00934904">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000140AD" w:rsidRPr="00934904">
        <w:rPr>
          <w:rFonts w:ascii="Arial" w:eastAsia="Calibri" w:hAnsi="Arial" w:cs="Arial"/>
          <w:sz w:val="24"/>
          <w:szCs w:val="24"/>
          <w:lang w:eastAsia="en-US"/>
        </w:rPr>
        <w:t xml:space="preserve"> 4. Mai 2020 – 2 BvL 4/18 </w:t>
      </w:r>
      <w:r w:rsidR="000140AD" w:rsidRPr="00033ED9">
        <w:rPr>
          <w:rFonts w:ascii="Arial" w:eastAsia="Calibri" w:hAnsi="Arial" w:cs="Arial"/>
          <w:sz w:val="24"/>
          <w:szCs w:val="24"/>
          <w:lang w:eastAsia="en-US"/>
        </w:rPr>
        <w:t xml:space="preserve">– </w:t>
      </w:r>
      <w:r w:rsidR="000140AD">
        <w:rPr>
          <w:rFonts w:ascii="Arial" w:eastAsia="Calibri" w:hAnsi="Arial" w:cs="Arial"/>
          <w:sz w:val="24"/>
          <w:szCs w:val="24"/>
          <w:lang w:eastAsia="en-US"/>
        </w:rPr>
        <w:t>juris</w:t>
      </w:r>
      <w:r w:rsidR="00673C6C">
        <w:rPr>
          <w:rFonts w:ascii="Arial" w:eastAsia="Calibri" w:hAnsi="Arial" w:cs="Arial"/>
          <w:sz w:val="24"/>
          <w:szCs w:val="24"/>
          <w:lang w:eastAsia="en-US"/>
        </w:rPr>
        <w:t xml:space="preserve"> Rn</w:t>
      </w:r>
      <w:r w:rsidR="00D56BAF">
        <w:rPr>
          <w:rFonts w:ascii="Arial" w:eastAsia="Calibri" w:hAnsi="Arial" w:cs="Arial"/>
          <w:sz w:val="24"/>
          <w:szCs w:val="24"/>
          <w:lang w:eastAsia="en-US"/>
        </w:rPr>
        <w:t>.</w:t>
      </w:r>
      <w:r w:rsidR="00673C6C">
        <w:rPr>
          <w:rFonts w:ascii="Arial" w:eastAsia="Calibri" w:hAnsi="Arial" w:cs="Arial"/>
          <w:sz w:val="24"/>
          <w:szCs w:val="24"/>
          <w:lang w:eastAsia="en-US"/>
        </w:rPr>
        <w:t xml:space="preserve"> 164) </w:t>
      </w:r>
      <w:r w:rsidR="003239E1" w:rsidRPr="003239E1">
        <w:rPr>
          <w:rFonts w:ascii="Arial" w:eastAsia="Calibri" w:hAnsi="Arial" w:cs="Arial"/>
          <w:sz w:val="24"/>
          <w:szCs w:val="24"/>
          <w:lang w:eastAsia="en-US"/>
        </w:rPr>
        <w:t>angezeigt, d</w:t>
      </w:r>
      <w:r w:rsidR="00EE2B8F">
        <w:rPr>
          <w:rFonts w:ascii="Arial" w:eastAsia="Calibri" w:hAnsi="Arial" w:cs="Arial"/>
          <w:sz w:val="24"/>
          <w:szCs w:val="24"/>
          <w:lang w:eastAsia="en-US"/>
        </w:rPr>
        <w:t>ie</w:t>
      </w:r>
      <w:r w:rsidR="003239E1" w:rsidRPr="003239E1">
        <w:rPr>
          <w:rFonts w:ascii="Arial" w:eastAsia="Calibri" w:hAnsi="Arial" w:cs="Arial"/>
          <w:sz w:val="24"/>
          <w:szCs w:val="24"/>
          <w:lang w:eastAsia="en-US"/>
        </w:rPr>
        <w:t xml:space="preserve"> </w:t>
      </w:r>
      <w:r w:rsidR="00EE2B8F">
        <w:rPr>
          <w:rFonts w:ascii="Arial" w:eastAsia="Calibri" w:hAnsi="Arial" w:cs="Arial"/>
          <w:sz w:val="24"/>
          <w:szCs w:val="24"/>
          <w:lang w:eastAsia="en-US"/>
        </w:rPr>
        <w:t>jeweil</w:t>
      </w:r>
      <w:r w:rsidR="00531639">
        <w:rPr>
          <w:rFonts w:ascii="Arial" w:eastAsia="Calibri" w:hAnsi="Arial" w:cs="Arial"/>
          <w:sz w:val="24"/>
          <w:szCs w:val="24"/>
          <w:lang w:eastAsia="en-US"/>
        </w:rPr>
        <w:t>i</w:t>
      </w:r>
      <w:r w:rsidR="00EE2B8F">
        <w:rPr>
          <w:rFonts w:ascii="Arial" w:eastAsia="Calibri" w:hAnsi="Arial" w:cs="Arial"/>
          <w:sz w:val="24"/>
          <w:szCs w:val="24"/>
          <w:lang w:eastAsia="en-US"/>
        </w:rPr>
        <w:t xml:space="preserve">gen </w:t>
      </w:r>
      <w:r w:rsidR="003239E1" w:rsidRPr="003239E1">
        <w:rPr>
          <w:rFonts w:ascii="Arial" w:eastAsia="Calibri" w:hAnsi="Arial" w:cs="Arial"/>
          <w:sz w:val="24"/>
          <w:szCs w:val="24"/>
          <w:lang w:eastAsia="en-US"/>
        </w:rPr>
        <w:t>Zeitpunkt</w:t>
      </w:r>
      <w:r w:rsidR="00EE2B8F">
        <w:rPr>
          <w:rFonts w:ascii="Arial" w:eastAsia="Calibri" w:hAnsi="Arial" w:cs="Arial"/>
          <w:sz w:val="24"/>
          <w:szCs w:val="24"/>
          <w:lang w:eastAsia="en-US"/>
        </w:rPr>
        <w:t>e</w:t>
      </w:r>
      <w:r w:rsidR="003239E1" w:rsidRPr="003239E1">
        <w:rPr>
          <w:rFonts w:ascii="Arial" w:eastAsia="Calibri" w:hAnsi="Arial" w:cs="Arial"/>
          <w:sz w:val="24"/>
          <w:szCs w:val="24"/>
          <w:lang w:eastAsia="en-US"/>
        </w:rPr>
        <w:t xml:space="preserve"> zu berücksichtigen, in de</w:t>
      </w:r>
      <w:r w:rsidR="00EE2B8F">
        <w:rPr>
          <w:rFonts w:ascii="Arial" w:eastAsia="Calibri" w:hAnsi="Arial" w:cs="Arial"/>
          <w:sz w:val="24"/>
          <w:szCs w:val="24"/>
          <w:lang w:eastAsia="en-US"/>
        </w:rPr>
        <w:t>nen</w:t>
      </w:r>
      <w:r w:rsidR="003239E1" w:rsidRPr="003239E1">
        <w:rPr>
          <w:rFonts w:ascii="Arial" w:eastAsia="Calibri" w:hAnsi="Arial" w:cs="Arial"/>
          <w:sz w:val="24"/>
          <w:szCs w:val="24"/>
          <w:lang w:eastAsia="en-US"/>
        </w:rPr>
        <w:t xml:space="preserve"> die Besoldungserhöhung</w:t>
      </w:r>
      <w:r w:rsidR="00EE2B8F">
        <w:rPr>
          <w:rFonts w:ascii="Arial" w:eastAsia="Calibri" w:hAnsi="Arial" w:cs="Arial"/>
          <w:sz w:val="24"/>
          <w:szCs w:val="24"/>
          <w:lang w:eastAsia="en-US"/>
        </w:rPr>
        <w:t>en</w:t>
      </w:r>
      <w:r w:rsidR="003239E1" w:rsidRPr="003239E1">
        <w:rPr>
          <w:rFonts w:ascii="Arial" w:eastAsia="Calibri" w:hAnsi="Arial" w:cs="Arial"/>
          <w:sz w:val="24"/>
          <w:szCs w:val="24"/>
          <w:lang w:eastAsia="en-US"/>
        </w:rPr>
        <w:t xml:space="preserve"> tatsächlich erfolgt </w:t>
      </w:r>
      <w:r w:rsidR="00EE2B8F">
        <w:rPr>
          <w:rFonts w:ascii="Arial" w:eastAsia="Calibri" w:hAnsi="Arial" w:cs="Arial"/>
          <w:sz w:val="24"/>
          <w:szCs w:val="24"/>
          <w:lang w:eastAsia="en-US"/>
        </w:rPr>
        <w:t>sind</w:t>
      </w:r>
      <w:r w:rsidR="003239E1" w:rsidRPr="003239E1">
        <w:rPr>
          <w:rFonts w:ascii="Arial" w:eastAsia="Calibri" w:hAnsi="Arial" w:cs="Arial"/>
          <w:sz w:val="24"/>
          <w:szCs w:val="24"/>
          <w:lang w:eastAsia="en-US"/>
        </w:rPr>
        <w:t xml:space="preserve">. Der Deutsche Richterbund hat in seiner Stellungnahme </w:t>
      </w:r>
      <w:r w:rsidR="001357FC">
        <w:rPr>
          <w:rFonts w:ascii="Arial" w:eastAsia="Calibri" w:hAnsi="Arial" w:cs="Arial"/>
          <w:sz w:val="24"/>
          <w:szCs w:val="24"/>
          <w:lang w:eastAsia="en-US"/>
        </w:rPr>
        <w:t xml:space="preserve">in dem Verfahren 2 BvL 4/16 </w:t>
      </w:r>
      <w:r w:rsidR="003239E1" w:rsidRPr="003239E1">
        <w:rPr>
          <w:rFonts w:ascii="Arial" w:eastAsia="Calibri" w:hAnsi="Arial" w:cs="Arial"/>
          <w:sz w:val="24"/>
          <w:szCs w:val="24"/>
          <w:lang w:eastAsia="en-US"/>
        </w:rPr>
        <w:t xml:space="preserve">eine Berechnung vorgelegt, bei der er für die Zeiträume 1994 bis 2010 und 2000 bis 2015 das in der Besoldungsgruppe R 1 gewährte Jahresbruttogehalt (Endstufe, mit allen allgemeinen Zulagen und Sonderzahlungen, ohne Familienzuschlag) ermittelt hat. </w:t>
      </w:r>
      <w:r w:rsidR="001357FC">
        <w:rPr>
          <w:rFonts w:ascii="Arial" w:eastAsia="Calibri" w:hAnsi="Arial" w:cs="Arial"/>
          <w:sz w:val="24"/>
          <w:szCs w:val="24"/>
          <w:lang w:eastAsia="en-US"/>
        </w:rPr>
        <w:t xml:space="preserve">Der </w:t>
      </w:r>
      <w:r w:rsidR="00EE2B8F">
        <w:rPr>
          <w:rFonts w:ascii="Arial" w:eastAsia="Calibri" w:hAnsi="Arial" w:cs="Arial"/>
          <w:sz w:val="24"/>
          <w:szCs w:val="24"/>
          <w:lang w:eastAsia="en-US"/>
        </w:rPr>
        <w:t xml:space="preserve">Landesverband </w:t>
      </w:r>
      <w:r w:rsidR="001357FC">
        <w:rPr>
          <w:rFonts w:ascii="Arial" w:eastAsia="Calibri" w:hAnsi="Arial" w:cs="Arial"/>
          <w:sz w:val="24"/>
          <w:szCs w:val="24"/>
          <w:lang w:eastAsia="en-US"/>
        </w:rPr>
        <w:t xml:space="preserve">Berlin </w:t>
      </w:r>
      <w:r w:rsidR="00EE2B8F">
        <w:rPr>
          <w:rFonts w:ascii="Arial" w:eastAsia="Calibri" w:hAnsi="Arial" w:cs="Arial"/>
          <w:sz w:val="24"/>
          <w:szCs w:val="24"/>
          <w:lang w:eastAsia="en-US"/>
        </w:rPr>
        <w:t xml:space="preserve">des Deutschen Richterbundes </w:t>
      </w:r>
      <w:r w:rsidR="001357FC">
        <w:rPr>
          <w:rFonts w:ascii="Arial" w:eastAsia="Calibri" w:hAnsi="Arial" w:cs="Arial"/>
          <w:sz w:val="24"/>
          <w:szCs w:val="24"/>
          <w:lang w:eastAsia="en-US"/>
        </w:rPr>
        <w:t xml:space="preserve">hat diese Zahlen </w:t>
      </w:r>
      <w:r w:rsidR="004005F6">
        <w:rPr>
          <w:rFonts w:ascii="Arial" w:eastAsia="Calibri" w:hAnsi="Arial" w:cs="Arial"/>
          <w:sz w:val="24"/>
          <w:szCs w:val="24"/>
          <w:lang w:eastAsia="en-US"/>
        </w:rPr>
        <w:t xml:space="preserve">wie folgt </w:t>
      </w:r>
      <w:r w:rsidR="001357FC">
        <w:rPr>
          <w:rFonts w:ascii="Arial" w:eastAsia="Calibri" w:hAnsi="Arial" w:cs="Arial"/>
          <w:sz w:val="24"/>
          <w:szCs w:val="24"/>
          <w:lang w:eastAsia="en-US"/>
        </w:rPr>
        <w:t>für die Folgejahre ab 2016 fortgeschrieben</w:t>
      </w:r>
      <w:r w:rsidR="00331593">
        <w:rPr>
          <w:rFonts w:ascii="Arial" w:eastAsia="Calibri" w:hAnsi="Arial" w:cs="Arial"/>
          <w:sz w:val="24"/>
          <w:szCs w:val="24"/>
          <w:lang w:eastAsia="en-US"/>
        </w:rPr>
        <w:t>:</w:t>
      </w:r>
    </w:p>
    <w:p w14:paraId="50E48BCB" w14:textId="77777777" w:rsidR="001357FC" w:rsidRDefault="001357FC" w:rsidP="00DF15FD">
      <w:pPr>
        <w:overflowPunct/>
        <w:autoSpaceDE/>
        <w:autoSpaceDN/>
        <w:adjustRightInd/>
        <w:spacing w:line="480" w:lineRule="exact"/>
        <w:contextualSpacing/>
        <w:textAlignment w:val="auto"/>
        <w:rPr>
          <w:rFonts w:ascii="Arial" w:eastAsia="Calibri" w:hAnsi="Arial" w:cs="Arial"/>
          <w:sz w:val="24"/>
          <w:szCs w:val="24"/>
          <w:lang w:eastAsia="en-US"/>
        </w:rPr>
      </w:pPr>
    </w:p>
    <w:tbl>
      <w:tblPr>
        <w:tblW w:w="8839" w:type="dxa"/>
        <w:tblInd w:w="93" w:type="dxa"/>
        <w:tblCellMar>
          <w:left w:w="70" w:type="dxa"/>
          <w:right w:w="70" w:type="dxa"/>
        </w:tblCellMar>
        <w:tblLook w:val="04A0" w:firstRow="1" w:lastRow="0" w:firstColumn="1" w:lastColumn="0" w:noHBand="0" w:noVBand="1"/>
      </w:tblPr>
      <w:tblGrid>
        <w:gridCol w:w="740"/>
        <w:gridCol w:w="797"/>
        <w:gridCol w:w="1134"/>
        <w:gridCol w:w="992"/>
        <w:gridCol w:w="850"/>
        <w:gridCol w:w="1134"/>
        <w:gridCol w:w="993"/>
        <w:gridCol w:w="1065"/>
        <w:gridCol w:w="1134"/>
      </w:tblGrid>
      <w:tr w:rsidR="00331593" w:rsidRPr="00331593" w14:paraId="267E83D5" w14:textId="77777777" w:rsidTr="00331593">
        <w:trPr>
          <w:trHeight w:val="624"/>
        </w:trPr>
        <w:tc>
          <w:tcPr>
            <w:tcW w:w="740"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1E52F4B5"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 </w:t>
            </w:r>
          </w:p>
        </w:tc>
        <w:tc>
          <w:tcPr>
            <w:tcW w:w="797" w:type="dxa"/>
            <w:tcBorders>
              <w:top w:val="double" w:sz="6" w:space="0" w:color="auto"/>
              <w:left w:val="nil"/>
              <w:bottom w:val="single" w:sz="8" w:space="0" w:color="auto"/>
              <w:right w:val="single" w:sz="4" w:space="0" w:color="auto"/>
            </w:tcBorders>
            <w:shd w:val="clear" w:color="auto" w:fill="auto"/>
            <w:vAlign w:val="center"/>
            <w:hideMark/>
          </w:tcPr>
          <w:p w14:paraId="6F82896F"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 </w:t>
            </w:r>
          </w:p>
        </w:tc>
        <w:tc>
          <w:tcPr>
            <w:tcW w:w="1134" w:type="dxa"/>
            <w:tcBorders>
              <w:top w:val="double" w:sz="6" w:space="0" w:color="auto"/>
              <w:left w:val="nil"/>
              <w:bottom w:val="single" w:sz="8" w:space="0" w:color="auto"/>
              <w:right w:val="single" w:sz="4" w:space="0" w:color="auto"/>
            </w:tcBorders>
            <w:shd w:val="clear" w:color="auto" w:fill="auto"/>
            <w:vAlign w:val="center"/>
            <w:hideMark/>
          </w:tcPr>
          <w:p w14:paraId="7DDF64AD" w14:textId="09585DE1"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Grundgehalt p.m.</w:t>
            </w:r>
          </w:p>
        </w:tc>
        <w:tc>
          <w:tcPr>
            <w:tcW w:w="992" w:type="dxa"/>
            <w:tcBorders>
              <w:top w:val="double" w:sz="6" w:space="0" w:color="auto"/>
              <w:left w:val="nil"/>
              <w:bottom w:val="single" w:sz="8" w:space="0" w:color="auto"/>
              <w:right w:val="single" w:sz="4" w:space="0" w:color="auto"/>
            </w:tcBorders>
            <w:shd w:val="clear" w:color="auto" w:fill="auto"/>
            <w:vAlign w:val="center"/>
            <w:hideMark/>
          </w:tcPr>
          <w:p w14:paraId="7E263CB3"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Ortszu-schlag p.m.</w:t>
            </w:r>
          </w:p>
        </w:tc>
        <w:tc>
          <w:tcPr>
            <w:tcW w:w="850" w:type="dxa"/>
            <w:tcBorders>
              <w:top w:val="double" w:sz="6" w:space="0" w:color="auto"/>
              <w:left w:val="nil"/>
              <w:bottom w:val="single" w:sz="8" w:space="0" w:color="auto"/>
              <w:right w:val="single" w:sz="4" w:space="0" w:color="auto"/>
            </w:tcBorders>
            <w:shd w:val="clear" w:color="auto" w:fill="auto"/>
            <w:vAlign w:val="center"/>
            <w:hideMark/>
          </w:tcPr>
          <w:p w14:paraId="1BF3A8F9"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Stellen-zulage p.m.</w:t>
            </w:r>
          </w:p>
        </w:tc>
        <w:tc>
          <w:tcPr>
            <w:tcW w:w="1134" w:type="dxa"/>
            <w:tcBorders>
              <w:top w:val="double" w:sz="6" w:space="0" w:color="auto"/>
              <w:left w:val="nil"/>
              <w:bottom w:val="single" w:sz="8" w:space="0" w:color="auto"/>
              <w:right w:val="single" w:sz="4" w:space="0" w:color="auto"/>
            </w:tcBorders>
            <w:shd w:val="clear" w:color="auto" w:fill="auto"/>
            <w:vAlign w:val="center"/>
            <w:hideMark/>
          </w:tcPr>
          <w:p w14:paraId="6DA61B5E"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Grundgehalt p.a</w:t>
            </w:r>
          </w:p>
        </w:tc>
        <w:tc>
          <w:tcPr>
            <w:tcW w:w="993" w:type="dxa"/>
            <w:tcBorders>
              <w:top w:val="double" w:sz="6" w:space="0" w:color="auto"/>
              <w:left w:val="nil"/>
              <w:bottom w:val="single" w:sz="8" w:space="0" w:color="auto"/>
              <w:right w:val="single" w:sz="4" w:space="0" w:color="auto"/>
            </w:tcBorders>
            <w:shd w:val="clear" w:color="auto" w:fill="auto"/>
            <w:vAlign w:val="center"/>
            <w:hideMark/>
          </w:tcPr>
          <w:p w14:paraId="1874C6DC"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SoZa p.a</w:t>
            </w:r>
          </w:p>
        </w:tc>
        <w:tc>
          <w:tcPr>
            <w:tcW w:w="1065" w:type="dxa"/>
            <w:tcBorders>
              <w:top w:val="double" w:sz="6" w:space="0" w:color="auto"/>
              <w:left w:val="nil"/>
              <w:bottom w:val="single" w:sz="8" w:space="0" w:color="auto"/>
              <w:right w:val="single" w:sz="4" w:space="0" w:color="auto"/>
            </w:tcBorders>
            <w:shd w:val="clear" w:color="auto" w:fill="auto"/>
            <w:vAlign w:val="center"/>
            <w:hideMark/>
          </w:tcPr>
          <w:p w14:paraId="52FD9400"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Urlaubsgeld</w:t>
            </w:r>
          </w:p>
        </w:tc>
        <w:tc>
          <w:tcPr>
            <w:tcW w:w="1134" w:type="dxa"/>
            <w:tcBorders>
              <w:top w:val="double" w:sz="6" w:space="0" w:color="auto"/>
              <w:left w:val="nil"/>
              <w:bottom w:val="single" w:sz="8" w:space="0" w:color="auto"/>
              <w:right w:val="double" w:sz="6" w:space="0" w:color="auto"/>
            </w:tcBorders>
            <w:shd w:val="clear" w:color="auto" w:fill="auto"/>
            <w:vAlign w:val="center"/>
            <w:hideMark/>
          </w:tcPr>
          <w:p w14:paraId="6523B909"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Gesamt p.a</w:t>
            </w:r>
          </w:p>
        </w:tc>
      </w:tr>
      <w:tr w:rsidR="00331593" w:rsidRPr="00331593" w14:paraId="164EB6E8"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5E945BFE"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1994</w:t>
            </w:r>
          </w:p>
        </w:tc>
        <w:tc>
          <w:tcPr>
            <w:tcW w:w="797" w:type="dxa"/>
            <w:tcBorders>
              <w:top w:val="nil"/>
              <w:left w:val="nil"/>
              <w:bottom w:val="single" w:sz="4" w:space="0" w:color="auto"/>
              <w:right w:val="single" w:sz="4" w:space="0" w:color="auto"/>
            </w:tcBorders>
            <w:shd w:val="clear" w:color="auto" w:fill="auto"/>
            <w:noWrap/>
            <w:vAlign w:val="center"/>
            <w:hideMark/>
          </w:tcPr>
          <w:p w14:paraId="7C9A026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3B5B0F2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3.671,43 € </w:t>
            </w:r>
          </w:p>
        </w:tc>
        <w:tc>
          <w:tcPr>
            <w:tcW w:w="992" w:type="dxa"/>
            <w:tcBorders>
              <w:top w:val="nil"/>
              <w:left w:val="nil"/>
              <w:bottom w:val="single" w:sz="4" w:space="0" w:color="auto"/>
              <w:right w:val="single" w:sz="4" w:space="0" w:color="auto"/>
            </w:tcBorders>
            <w:shd w:val="clear" w:color="auto" w:fill="auto"/>
            <w:noWrap/>
            <w:vAlign w:val="center"/>
            <w:hideMark/>
          </w:tcPr>
          <w:p w14:paraId="2F61D83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460,07 € </w:t>
            </w:r>
          </w:p>
        </w:tc>
        <w:tc>
          <w:tcPr>
            <w:tcW w:w="850" w:type="dxa"/>
            <w:tcBorders>
              <w:top w:val="nil"/>
              <w:left w:val="nil"/>
              <w:bottom w:val="single" w:sz="4" w:space="0" w:color="auto"/>
              <w:right w:val="single" w:sz="4" w:space="0" w:color="auto"/>
            </w:tcBorders>
            <w:shd w:val="clear" w:color="auto" w:fill="auto"/>
            <w:noWrap/>
            <w:vAlign w:val="center"/>
            <w:hideMark/>
          </w:tcPr>
          <w:p w14:paraId="57B15A0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35,31 € </w:t>
            </w:r>
          </w:p>
        </w:tc>
        <w:tc>
          <w:tcPr>
            <w:tcW w:w="1134" w:type="dxa"/>
            <w:tcBorders>
              <w:top w:val="nil"/>
              <w:left w:val="nil"/>
              <w:bottom w:val="single" w:sz="4" w:space="0" w:color="auto"/>
              <w:right w:val="single" w:sz="4" w:space="0" w:color="auto"/>
            </w:tcBorders>
            <w:shd w:val="clear" w:color="auto" w:fill="auto"/>
            <w:noWrap/>
            <w:vAlign w:val="center"/>
            <w:hideMark/>
          </w:tcPr>
          <w:p w14:paraId="49D87FE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50.001,71 € </w:t>
            </w:r>
          </w:p>
        </w:tc>
        <w:tc>
          <w:tcPr>
            <w:tcW w:w="993" w:type="dxa"/>
            <w:tcBorders>
              <w:top w:val="nil"/>
              <w:left w:val="nil"/>
              <w:bottom w:val="single" w:sz="4" w:space="0" w:color="auto"/>
              <w:right w:val="single" w:sz="4" w:space="0" w:color="auto"/>
            </w:tcBorders>
            <w:shd w:val="clear" w:color="auto" w:fill="auto"/>
            <w:noWrap/>
            <w:vAlign w:val="center"/>
            <w:hideMark/>
          </w:tcPr>
          <w:p w14:paraId="11AFE9A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24A3ADF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3655D81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54.423,72 € </w:t>
            </w:r>
          </w:p>
        </w:tc>
      </w:tr>
      <w:tr w:rsidR="00331593" w:rsidRPr="00331593" w14:paraId="15902995"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64CB94A2"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1995</w:t>
            </w:r>
          </w:p>
        </w:tc>
        <w:tc>
          <w:tcPr>
            <w:tcW w:w="797" w:type="dxa"/>
            <w:tcBorders>
              <w:top w:val="nil"/>
              <w:left w:val="nil"/>
              <w:bottom w:val="nil"/>
              <w:right w:val="single" w:sz="4" w:space="0" w:color="auto"/>
            </w:tcBorders>
            <w:shd w:val="clear" w:color="auto" w:fill="auto"/>
            <w:noWrap/>
            <w:vAlign w:val="center"/>
            <w:hideMark/>
          </w:tcPr>
          <w:p w14:paraId="7111E71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Jan-Apr</w:t>
            </w:r>
          </w:p>
        </w:tc>
        <w:tc>
          <w:tcPr>
            <w:tcW w:w="1134" w:type="dxa"/>
            <w:tcBorders>
              <w:top w:val="nil"/>
              <w:left w:val="nil"/>
              <w:bottom w:val="nil"/>
              <w:right w:val="single" w:sz="4" w:space="0" w:color="auto"/>
            </w:tcBorders>
            <w:shd w:val="clear" w:color="auto" w:fill="auto"/>
            <w:noWrap/>
            <w:vAlign w:val="center"/>
            <w:hideMark/>
          </w:tcPr>
          <w:p w14:paraId="56DB27D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3.744,87 € </w:t>
            </w:r>
          </w:p>
        </w:tc>
        <w:tc>
          <w:tcPr>
            <w:tcW w:w="992" w:type="dxa"/>
            <w:tcBorders>
              <w:top w:val="nil"/>
              <w:left w:val="nil"/>
              <w:bottom w:val="nil"/>
              <w:right w:val="single" w:sz="4" w:space="0" w:color="auto"/>
            </w:tcBorders>
            <w:shd w:val="clear" w:color="auto" w:fill="auto"/>
            <w:noWrap/>
            <w:vAlign w:val="center"/>
            <w:hideMark/>
          </w:tcPr>
          <w:p w14:paraId="3094058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469,00 € </w:t>
            </w:r>
          </w:p>
        </w:tc>
        <w:tc>
          <w:tcPr>
            <w:tcW w:w="850" w:type="dxa"/>
            <w:tcBorders>
              <w:top w:val="nil"/>
              <w:left w:val="nil"/>
              <w:bottom w:val="nil"/>
              <w:right w:val="single" w:sz="4" w:space="0" w:color="auto"/>
            </w:tcBorders>
            <w:shd w:val="clear" w:color="auto" w:fill="auto"/>
            <w:noWrap/>
            <w:vAlign w:val="center"/>
            <w:hideMark/>
          </w:tcPr>
          <w:p w14:paraId="39A3C14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36,02 €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AF9C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52.086,63 €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DA64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0E13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4A3CB24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56.508,65 € </w:t>
            </w:r>
          </w:p>
        </w:tc>
      </w:tr>
      <w:tr w:rsidR="00331593" w:rsidRPr="00331593" w14:paraId="24355F18"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56980029"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204B063B"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Mai-Dez</w:t>
            </w:r>
          </w:p>
        </w:tc>
        <w:tc>
          <w:tcPr>
            <w:tcW w:w="1134" w:type="dxa"/>
            <w:tcBorders>
              <w:top w:val="nil"/>
              <w:left w:val="nil"/>
              <w:bottom w:val="single" w:sz="4" w:space="0" w:color="auto"/>
              <w:right w:val="single" w:sz="4" w:space="0" w:color="auto"/>
            </w:tcBorders>
            <w:shd w:val="clear" w:color="auto" w:fill="auto"/>
            <w:noWrap/>
            <w:vAlign w:val="center"/>
            <w:hideMark/>
          </w:tcPr>
          <w:p w14:paraId="793AB70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3.864,70 € </w:t>
            </w:r>
          </w:p>
        </w:tc>
        <w:tc>
          <w:tcPr>
            <w:tcW w:w="992" w:type="dxa"/>
            <w:tcBorders>
              <w:top w:val="nil"/>
              <w:left w:val="nil"/>
              <w:bottom w:val="single" w:sz="4" w:space="0" w:color="auto"/>
              <w:right w:val="single" w:sz="4" w:space="0" w:color="auto"/>
            </w:tcBorders>
            <w:shd w:val="clear" w:color="auto" w:fill="auto"/>
            <w:noWrap/>
            <w:vAlign w:val="center"/>
            <w:hideMark/>
          </w:tcPr>
          <w:p w14:paraId="5C8CB78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484,01 € </w:t>
            </w:r>
          </w:p>
        </w:tc>
        <w:tc>
          <w:tcPr>
            <w:tcW w:w="850" w:type="dxa"/>
            <w:tcBorders>
              <w:top w:val="nil"/>
              <w:left w:val="nil"/>
              <w:bottom w:val="single" w:sz="4" w:space="0" w:color="auto"/>
              <w:right w:val="single" w:sz="4" w:space="0" w:color="auto"/>
            </w:tcBorders>
            <w:shd w:val="clear" w:color="auto" w:fill="auto"/>
            <w:noWrap/>
            <w:vAlign w:val="center"/>
            <w:hideMark/>
          </w:tcPr>
          <w:p w14:paraId="1D6A69A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37,18 € </w:t>
            </w:r>
          </w:p>
        </w:tc>
        <w:tc>
          <w:tcPr>
            <w:tcW w:w="1134" w:type="dxa"/>
            <w:vMerge/>
            <w:tcBorders>
              <w:top w:val="nil"/>
              <w:left w:val="single" w:sz="4" w:space="0" w:color="auto"/>
              <w:bottom w:val="single" w:sz="4" w:space="0" w:color="000000"/>
              <w:right w:val="single" w:sz="4" w:space="0" w:color="auto"/>
            </w:tcBorders>
            <w:vAlign w:val="center"/>
            <w:hideMark/>
          </w:tcPr>
          <w:p w14:paraId="1662EAF5"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6BDC6595"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vMerge/>
            <w:tcBorders>
              <w:top w:val="nil"/>
              <w:left w:val="single" w:sz="4" w:space="0" w:color="auto"/>
              <w:bottom w:val="single" w:sz="4" w:space="0" w:color="000000"/>
              <w:right w:val="single" w:sz="4" w:space="0" w:color="auto"/>
            </w:tcBorders>
            <w:vAlign w:val="center"/>
            <w:hideMark/>
          </w:tcPr>
          <w:p w14:paraId="01320842"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134" w:type="dxa"/>
            <w:vMerge/>
            <w:tcBorders>
              <w:top w:val="nil"/>
              <w:left w:val="single" w:sz="4" w:space="0" w:color="auto"/>
              <w:bottom w:val="single" w:sz="4" w:space="0" w:color="000000"/>
              <w:right w:val="double" w:sz="6" w:space="0" w:color="auto"/>
            </w:tcBorders>
            <w:vAlign w:val="center"/>
            <w:hideMark/>
          </w:tcPr>
          <w:p w14:paraId="77737AA7"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4F274806"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2E8DD57D"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1996</w:t>
            </w:r>
          </w:p>
        </w:tc>
        <w:tc>
          <w:tcPr>
            <w:tcW w:w="797" w:type="dxa"/>
            <w:tcBorders>
              <w:top w:val="nil"/>
              <w:left w:val="nil"/>
              <w:bottom w:val="single" w:sz="4" w:space="0" w:color="auto"/>
              <w:right w:val="single" w:sz="4" w:space="0" w:color="auto"/>
            </w:tcBorders>
            <w:shd w:val="clear" w:color="auto" w:fill="auto"/>
            <w:noWrap/>
            <w:vAlign w:val="center"/>
            <w:hideMark/>
          </w:tcPr>
          <w:p w14:paraId="1243F7FA"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548CE3F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3.864,70 € </w:t>
            </w:r>
          </w:p>
        </w:tc>
        <w:tc>
          <w:tcPr>
            <w:tcW w:w="992" w:type="dxa"/>
            <w:tcBorders>
              <w:top w:val="nil"/>
              <w:left w:val="nil"/>
              <w:bottom w:val="single" w:sz="4" w:space="0" w:color="auto"/>
              <w:right w:val="single" w:sz="4" w:space="0" w:color="auto"/>
            </w:tcBorders>
            <w:shd w:val="clear" w:color="auto" w:fill="auto"/>
            <w:noWrap/>
            <w:vAlign w:val="center"/>
            <w:hideMark/>
          </w:tcPr>
          <w:p w14:paraId="3C11A89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484,01 € </w:t>
            </w:r>
          </w:p>
        </w:tc>
        <w:tc>
          <w:tcPr>
            <w:tcW w:w="850" w:type="dxa"/>
            <w:tcBorders>
              <w:top w:val="nil"/>
              <w:left w:val="nil"/>
              <w:bottom w:val="single" w:sz="4" w:space="0" w:color="auto"/>
              <w:right w:val="single" w:sz="4" w:space="0" w:color="auto"/>
            </w:tcBorders>
            <w:shd w:val="clear" w:color="auto" w:fill="auto"/>
            <w:noWrap/>
            <w:vAlign w:val="center"/>
            <w:hideMark/>
          </w:tcPr>
          <w:p w14:paraId="0C7E3F8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37,18 € </w:t>
            </w:r>
          </w:p>
        </w:tc>
        <w:tc>
          <w:tcPr>
            <w:tcW w:w="1134" w:type="dxa"/>
            <w:tcBorders>
              <w:top w:val="nil"/>
              <w:left w:val="nil"/>
              <w:bottom w:val="single" w:sz="4" w:space="0" w:color="auto"/>
              <w:right w:val="single" w:sz="4" w:space="0" w:color="auto"/>
            </w:tcBorders>
            <w:shd w:val="clear" w:color="auto" w:fill="auto"/>
            <w:noWrap/>
            <w:vAlign w:val="center"/>
            <w:hideMark/>
          </w:tcPr>
          <w:p w14:paraId="6257726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52.630,65 € </w:t>
            </w:r>
          </w:p>
        </w:tc>
        <w:tc>
          <w:tcPr>
            <w:tcW w:w="993" w:type="dxa"/>
            <w:tcBorders>
              <w:top w:val="nil"/>
              <w:left w:val="nil"/>
              <w:bottom w:val="single" w:sz="4" w:space="0" w:color="auto"/>
              <w:right w:val="single" w:sz="4" w:space="0" w:color="auto"/>
            </w:tcBorders>
            <w:shd w:val="clear" w:color="auto" w:fill="auto"/>
            <w:noWrap/>
            <w:vAlign w:val="center"/>
            <w:hideMark/>
          </w:tcPr>
          <w:p w14:paraId="4FCDF11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2AA7580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70E9A9E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57.052,66 € </w:t>
            </w:r>
          </w:p>
        </w:tc>
      </w:tr>
      <w:tr w:rsidR="00331593" w:rsidRPr="00331593" w14:paraId="3E4B702B"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3102F103"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1997</w:t>
            </w:r>
          </w:p>
        </w:tc>
        <w:tc>
          <w:tcPr>
            <w:tcW w:w="797" w:type="dxa"/>
            <w:tcBorders>
              <w:top w:val="nil"/>
              <w:left w:val="nil"/>
              <w:bottom w:val="nil"/>
              <w:right w:val="single" w:sz="4" w:space="0" w:color="auto"/>
            </w:tcBorders>
            <w:shd w:val="clear" w:color="auto" w:fill="auto"/>
            <w:noWrap/>
            <w:vAlign w:val="center"/>
            <w:hideMark/>
          </w:tcPr>
          <w:p w14:paraId="58E4C9F8"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Jan-Feb</w:t>
            </w:r>
          </w:p>
        </w:tc>
        <w:tc>
          <w:tcPr>
            <w:tcW w:w="1134" w:type="dxa"/>
            <w:tcBorders>
              <w:top w:val="nil"/>
              <w:left w:val="nil"/>
              <w:bottom w:val="nil"/>
              <w:right w:val="single" w:sz="4" w:space="0" w:color="auto"/>
            </w:tcBorders>
            <w:shd w:val="clear" w:color="auto" w:fill="auto"/>
            <w:noWrap/>
            <w:vAlign w:val="center"/>
            <w:hideMark/>
          </w:tcPr>
          <w:p w14:paraId="5C250CA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3.864,70 € </w:t>
            </w:r>
          </w:p>
        </w:tc>
        <w:tc>
          <w:tcPr>
            <w:tcW w:w="992" w:type="dxa"/>
            <w:tcBorders>
              <w:top w:val="nil"/>
              <w:left w:val="nil"/>
              <w:bottom w:val="nil"/>
              <w:right w:val="single" w:sz="4" w:space="0" w:color="auto"/>
            </w:tcBorders>
            <w:shd w:val="clear" w:color="auto" w:fill="auto"/>
            <w:noWrap/>
            <w:vAlign w:val="center"/>
            <w:hideMark/>
          </w:tcPr>
          <w:p w14:paraId="1464440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484,01 € </w:t>
            </w:r>
          </w:p>
        </w:tc>
        <w:tc>
          <w:tcPr>
            <w:tcW w:w="850" w:type="dxa"/>
            <w:tcBorders>
              <w:top w:val="nil"/>
              <w:left w:val="nil"/>
              <w:bottom w:val="nil"/>
              <w:right w:val="single" w:sz="4" w:space="0" w:color="auto"/>
            </w:tcBorders>
            <w:shd w:val="clear" w:color="auto" w:fill="auto"/>
            <w:noWrap/>
            <w:vAlign w:val="center"/>
            <w:hideMark/>
          </w:tcPr>
          <w:p w14:paraId="6592B20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37,18 €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5CA6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53.002,41 €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2D34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FCF9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64EB9F4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57.424,42 € </w:t>
            </w:r>
          </w:p>
        </w:tc>
      </w:tr>
      <w:tr w:rsidR="00331593" w:rsidRPr="00331593" w14:paraId="5F42A72F"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6F1AEC9F"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76F48924"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Mrz-Dez</w:t>
            </w:r>
          </w:p>
        </w:tc>
        <w:tc>
          <w:tcPr>
            <w:tcW w:w="1134" w:type="dxa"/>
            <w:tcBorders>
              <w:top w:val="nil"/>
              <w:left w:val="nil"/>
              <w:bottom w:val="single" w:sz="4" w:space="0" w:color="auto"/>
              <w:right w:val="single" w:sz="4" w:space="0" w:color="auto"/>
            </w:tcBorders>
            <w:shd w:val="clear" w:color="auto" w:fill="auto"/>
            <w:noWrap/>
            <w:vAlign w:val="center"/>
            <w:hideMark/>
          </w:tcPr>
          <w:p w14:paraId="1E3E342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4.385,89 € </w:t>
            </w:r>
          </w:p>
        </w:tc>
        <w:tc>
          <w:tcPr>
            <w:tcW w:w="992" w:type="dxa"/>
            <w:tcBorders>
              <w:top w:val="nil"/>
              <w:left w:val="nil"/>
              <w:bottom w:val="single" w:sz="4" w:space="0" w:color="auto"/>
              <w:right w:val="single" w:sz="4" w:space="0" w:color="auto"/>
            </w:tcBorders>
            <w:shd w:val="clear" w:color="auto" w:fill="auto"/>
            <w:noWrap/>
            <w:vAlign w:val="center"/>
            <w:hideMark/>
          </w:tcPr>
          <w:p w14:paraId="53644CD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49E460D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37,18 € </w:t>
            </w:r>
          </w:p>
        </w:tc>
        <w:tc>
          <w:tcPr>
            <w:tcW w:w="1134" w:type="dxa"/>
            <w:vMerge/>
            <w:tcBorders>
              <w:top w:val="nil"/>
              <w:left w:val="single" w:sz="4" w:space="0" w:color="auto"/>
              <w:bottom w:val="single" w:sz="4" w:space="0" w:color="000000"/>
              <w:right w:val="single" w:sz="4" w:space="0" w:color="auto"/>
            </w:tcBorders>
            <w:vAlign w:val="center"/>
            <w:hideMark/>
          </w:tcPr>
          <w:p w14:paraId="596413A9"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6F532863"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vMerge/>
            <w:tcBorders>
              <w:top w:val="nil"/>
              <w:left w:val="single" w:sz="4" w:space="0" w:color="auto"/>
              <w:bottom w:val="single" w:sz="4" w:space="0" w:color="000000"/>
              <w:right w:val="single" w:sz="4" w:space="0" w:color="auto"/>
            </w:tcBorders>
            <w:vAlign w:val="center"/>
            <w:hideMark/>
          </w:tcPr>
          <w:p w14:paraId="644150AE"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134" w:type="dxa"/>
            <w:vMerge/>
            <w:tcBorders>
              <w:top w:val="nil"/>
              <w:left w:val="single" w:sz="4" w:space="0" w:color="auto"/>
              <w:bottom w:val="single" w:sz="4" w:space="0" w:color="000000"/>
              <w:right w:val="double" w:sz="6" w:space="0" w:color="auto"/>
            </w:tcBorders>
            <w:vAlign w:val="center"/>
            <w:hideMark/>
          </w:tcPr>
          <w:p w14:paraId="38C100A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CD40BAE"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1B14AFD6"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1998</w:t>
            </w:r>
          </w:p>
        </w:tc>
        <w:tc>
          <w:tcPr>
            <w:tcW w:w="797" w:type="dxa"/>
            <w:tcBorders>
              <w:top w:val="nil"/>
              <w:left w:val="nil"/>
              <w:bottom w:val="single" w:sz="4" w:space="0" w:color="auto"/>
              <w:right w:val="single" w:sz="4" w:space="0" w:color="auto"/>
            </w:tcBorders>
            <w:shd w:val="clear" w:color="auto" w:fill="auto"/>
            <w:noWrap/>
            <w:vAlign w:val="center"/>
            <w:hideMark/>
          </w:tcPr>
          <w:p w14:paraId="03AA5E97"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39FB830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4.509,55 € </w:t>
            </w:r>
          </w:p>
        </w:tc>
        <w:tc>
          <w:tcPr>
            <w:tcW w:w="992" w:type="dxa"/>
            <w:tcBorders>
              <w:top w:val="nil"/>
              <w:left w:val="nil"/>
              <w:bottom w:val="single" w:sz="4" w:space="0" w:color="auto"/>
              <w:right w:val="single" w:sz="4" w:space="0" w:color="auto"/>
            </w:tcBorders>
            <w:shd w:val="clear" w:color="auto" w:fill="auto"/>
            <w:noWrap/>
            <w:vAlign w:val="center"/>
            <w:hideMark/>
          </w:tcPr>
          <w:p w14:paraId="00DE518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BEB55E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4C5EC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54.114,58 € </w:t>
            </w:r>
          </w:p>
        </w:tc>
        <w:tc>
          <w:tcPr>
            <w:tcW w:w="993" w:type="dxa"/>
            <w:tcBorders>
              <w:top w:val="nil"/>
              <w:left w:val="nil"/>
              <w:bottom w:val="single" w:sz="4" w:space="0" w:color="auto"/>
              <w:right w:val="single" w:sz="4" w:space="0" w:color="auto"/>
            </w:tcBorders>
            <w:shd w:val="clear" w:color="auto" w:fill="auto"/>
            <w:noWrap/>
            <w:vAlign w:val="center"/>
            <w:hideMark/>
          </w:tcPr>
          <w:p w14:paraId="12DD037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43D99EE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0EB2CFA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58.536,60 € </w:t>
            </w:r>
          </w:p>
        </w:tc>
      </w:tr>
      <w:tr w:rsidR="00331593" w:rsidRPr="00331593" w14:paraId="0EEE1555"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6DD11B41"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1999</w:t>
            </w:r>
          </w:p>
        </w:tc>
        <w:tc>
          <w:tcPr>
            <w:tcW w:w="797" w:type="dxa"/>
            <w:tcBorders>
              <w:top w:val="nil"/>
              <w:left w:val="nil"/>
              <w:bottom w:val="nil"/>
              <w:right w:val="single" w:sz="4" w:space="0" w:color="auto"/>
            </w:tcBorders>
            <w:shd w:val="clear" w:color="auto" w:fill="auto"/>
            <w:noWrap/>
            <w:vAlign w:val="center"/>
            <w:hideMark/>
          </w:tcPr>
          <w:p w14:paraId="0A0F6EFF"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Jan-Mai</w:t>
            </w:r>
          </w:p>
        </w:tc>
        <w:tc>
          <w:tcPr>
            <w:tcW w:w="1134" w:type="dxa"/>
            <w:tcBorders>
              <w:top w:val="nil"/>
              <w:left w:val="nil"/>
              <w:bottom w:val="nil"/>
              <w:right w:val="single" w:sz="4" w:space="0" w:color="auto"/>
            </w:tcBorders>
            <w:shd w:val="clear" w:color="auto" w:fill="auto"/>
            <w:noWrap/>
            <w:vAlign w:val="center"/>
            <w:hideMark/>
          </w:tcPr>
          <w:p w14:paraId="0D21F32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4.509,55 € </w:t>
            </w:r>
          </w:p>
        </w:tc>
        <w:tc>
          <w:tcPr>
            <w:tcW w:w="992" w:type="dxa"/>
            <w:tcBorders>
              <w:top w:val="nil"/>
              <w:left w:val="nil"/>
              <w:bottom w:val="nil"/>
              <w:right w:val="single" w:sz="4" w:space="0" w:color="auto"/>
            </w:tcBorders>
            <w:shd w:val="clear" w:color="auto" w:fill="auto"/>
            <w:noWrap/>
            <w:vAlign w:val="center"/>
            <w:hideMark/>
          </w:tcPr>
          <w:p w14:paraId="6A79A95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5862FCD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BD7A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55.030,03 €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DA11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A1E1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23E1225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59.452,04 € </w:t>
            </w:r>
          </w:p>
        </w:tc>
      </w:tr>
      <w:tr w:rsidR="00331593" w:rsidRPr="00331593" w14:paraId="6864FC86"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5EB50F2E"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314457B"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Jun-Dez</w:t>
            </w:r>
          </w:p>
        </w:tc>
        <w:tc>
          <w:tcPr>
            <w:tcW w:w="1134" w:type="dxa"/>
            <w:tcBorders>
              <w:top w:val="nil"/>
              <w:left w:val="nil"/>
              <w:bottom w:val="single" w:sz="4" w:space="0" w:color="auto"/>
              <w:right w:val="single" w:sz="4" w:space="0" w:color="auto"/>
            </w:tcBorders>
            <w:shd w:val="clear" w:color="auto" w:fill="auto"/>
            <w:noWrap/>
            <w:vAlign w:val="center"/>
            <w:hideMark/>
          </w:tcPr>
          <w:p w14:paraId="1BBA5D7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4.640,33 € </w:t>
            </w:r>
          </w:p>
        </w:tc>
        <w:tc>
          <w:tcPr>
            <w:tcW w:w="992" w:type="dxa"/>
            <w:tcBorders>
              <w:top w:val="nil"/>
              <w:left w:val="nil"/>
              <w:bottom w:val="single" w:sz="4" w:space="0" w:color="auto"/>
              <w:right w:val="single" w:sz="4" w:space="0" w:color="auto"/>
            </w:tcBorders>
            <w:shd w:val="clear" w:color="auto" w:fill="auto"/>
            <w:noWrap/>
            <w:vAlign w:val="center"/>
            <w:hideMark/>
          </w:tcPr>
          <w:p w14:paraId="57A1947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CCAB14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370045F7"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088E5BB"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vMerge/>
            <w:tcBorders>
              <w:top w:val="nil"/>
              <w:left w:val="single" w:sz="4" w:space="0" w:color="auto"/>
              <w:bottom w:val="single" w:sz="4" w:space="0" w:color="000000"/>
              <w:right w:val="single" w:sz="4" w:space="0" w:color="auto"/>
            </w:tcBorders>
            <w:vAlign w:val="center"/>
            <w:hideMark/>
          </w:tcPr>
          <w:p w14:paraId="3EE1F7F9"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134" w:type="dxa"/>
            <w:vMerge/>
            <w:tcBorders>
              <w:top w:val="nil"/>
              <w:left w:val="single" w:sz="4" w:space="0" w:color="auto"/>
              <w:bottom w:val="single" w:sz="4" w:space="0" w:color="000000"/>
              <w:right w:val="double" w:sz="6" w:space="0" w:color="auto"/>
            </w:tcBorders>
            <w:vAlign w:val="center"/>
            <w:hideMark/>
          </w:tcPr>
          <w:p w14:paraId="7DF2D86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25F7D1B8"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05388C81"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2000</w:t>
            </w:r>
          </w:p>
        </w:tc>
        <w:tc>
          <w:tcPr>
            <w:tcW w:w="797" w:type="dxa"/>
            <w:tcBorders>
              <w:top w:val="nil"/>
              <w:left w:val="nil"/>
              <w:bottom w:val="single" w:sz="4" w:space="0" w:color="auto"/>
              <w:right w:val="single" w:sz="4" w:space="0" w:color="auto"/>
            </w:tcBorders>
            <w:shd w:val="clear" w:color="auto" w:fill="auto"/>
            <w:noWrap/>
            <w:vAlign w:val="center"/>
            <w:hideMark/>
          </w:tcPr>
          <w:p w14:paraId="6572F2F3"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05DF361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4.640,33 € </w:t>
            </w:r>
          </w:p>
        </w:tc>
        <w:tc>
          <w:tcPr>
            <w:tcW w:w="992" w:type="dxa"/>
            <w:tcBorders>
              <w:top w:val="nil"/>
              <w:left w:val="nil"/>
              <w:bottom w:val="single" w:sz="4" w:space="0" w:color="auto"/>
              <w:right w:val="single" w:sz="4" w:space="0" w:color="auto"/>
            </w:tcBorders>
            <w:shd w:val="clear" w:color="auto" w:fill="auto"/>
            <w:noWrap/>
            <w:vAlign w:val="center"/>
            <w:hideMark/>
          </w:tcPr>
          <w:p w14:paraId="5F29B8D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5EA5C0D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E3C7A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55.683,92 € </w:t>
            </w:r>
          </w:p>
        </w:tc>
        <w:tc>
          <w:tcPr>
            <w:tcW w:w="993" w:type="dxa"/>
            <w:tcBorders>
              <w:top w:val="nil"/>
              <w:left w:val="nil"/>
              <w:bottom w:val="single" w:sz="4" w:space="0" w:color="auto"/>
              <w:right w:val="single" w:sz="4" w:space="0" w:color="auto"/>
            </w:tcBorders>
            <w:shd w:val="clear" w:color="auto" w:fill="auto"/>
            <w:noWrap/>
            <w:vAlign w:val="center"/>
            <w:hideMark/>
          </w:tcPr>
          <w:p w14:paraId="1870344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239362D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6844798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60.105,94 € </w:t>
            </w:r>
          </w:p>
        </w:tc>
      </w:tr>
      <w:tr w:rsidR="00331593" w:rsidRPr="00331593" w14:paraId="4418F948"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2F353BDD"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2001</w:t>
            </w:r>
          </w:p>
        </w:tc>
        <w:tc>
          <w:tcPr>
            <w:tcW w:w="797" w:type="dxa"/>
            <w:tcBorders>
              <w:top w:val="nil"/>
              <w:left w:val="nil"/>
              <w:bottom w:val="single" w:sz="4" w:space="0" w:color="auto"/>
              <w:right w:val="single" w:sz="4" w:space="0" w:color="auto"/>
            </w:tcBorders>
            <w:shd w:val="clear" w:color="auto" w:fill="auto"/>
            <w:noWrap/>
            <w:vAlign w:val="center"/>
            <w:hideMark/>
          </w:tcPr>
          <w:p w14:paraId="284653B8"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2D0689C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4.827,78 € </w:t>
            </w:r>
          </w:p>
        </w:tc>
        <w:tc>
          <w:tcPr>
            <w:tcW w:w="992" w:type="dxa"/>
            <w:tcBorders>
              <w:top w:val="nil"/>
              <w:left w:val="nil"/>
              <w:bottom w:val="single" w:sz="4" w:space="0" w:color="auto"/>
              <w:right w:val="single" w:sz="4" w:space="0" w:color="auto"/>
            </w:tcBorders>
            <w:shd w:val="clear" w:color="auto" w:fill="auto"/>
            <w:noWrap/>
            <w:vAlign w:val="center"/>
            <w:hideMark/>
          </w:tcPr>
          <w:p w14:paraId="6EE1035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49491AB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927B5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57.933,36 € </w:t>
            </w:r>
          </w:p>
        </w:tc>
        <w:tc>
          <w:tcPr>
            <w:tcW w:w="993" w:type="dxa"/>
            <w:tcBorders>
              <w:top w:val="nil"/>
              <w:left w:val="nil"/>
              <w:bottom w:val="single" w:sz="4" w:space="0" w:color="auto"/>
              <w:right w:val="single" w:sz="4" w:space="0" w:color="auto"/>
            </w:tcBorders>
            <w:shd w:val="clear" w:color="auto" w:fill="auto"/>
            <w:noWrap/>
            <w:vAlign w:val="center"/>
            <w:hideMark/>
          </w:tcPr>
          <w:p w14:paraId="52921CB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4A651C4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23F9E02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62.355,38 € </w:t>
            </w:r>
          </w:p>
        </w:tc>
      </w:tr>
      <w:tr w:rsidR="00331593" w:rsidRPr="00331593" w14:paraId="64AF846D"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0D201314"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2002</w:t>
            </w:r>
          </w:p>
        </w:tc>
        <w:tc>
          <w:tcPr>
            <w:tcW w:w="797" w:type="dxa"/>
            <w:tcBorders>
              <w:top w:val="nil"/>
              <w:left w:val="nil"/>
              <w:bottom w:val="single" w:sz="4" w:space="0" w:color="auto"/>
              <w:right w:val="single" w:sz="4" w:space="0" w:color="auto"/>
            </w:tcBorders>
            <w:shd w:val="clear" w:color="auto" w:fill="auto"/>
            <w:noWrap/>
            <w:vAlign w:val="center"/>
            <w:hideMark/>
          </w:tcPr>
          <w:p w14:paraId="2288AA87"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7002C2B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4.827,78 € </w:t>
            </w:r>
          </w:p>
        </w:tc>
        <w:tc>
          <w:tcPr>
            <w:tcW w:w="992" w:type="dxa"/>
            <w:tcBorders>
              <w:top w:val="nil"/>
              <w:left w:val="nil"/>
              <w:bottom w:val="single" w:sz="4" w:space="0" w:color="auto"/>
              <w:right w:val="single" w:sz="4" w:space="0" w:color="auto"/>
            </w:tcBorders>
            <w:shd w:val="clear" w:color="auto" w:fill="auto"/>
            <w:noWrap/>
            <w:vAlign w:val="center"/>
            <w:hideMark/>
          </w:tcPr>
          <w:p w14:paraId="34F5309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3D54D9C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34975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57.933,36 € </w:t>
            </w:r>
          </w:p>
        </w:tc>
        <w:tc>
          <w:tcPr>
            <w:tcW w:w="993" w:type="dxa"/>
            <w:tcBorders>
              <w:top w:val="nil"/>
              <w:left w:val="nil"/>
              <w:bottom w:val="single" w:sz="4" w:space="0" w:color="auto"/>
              <w:right w:val="single" w:sz="4" w:space="0" w:color="auto"/>
            </w:tcBorders>
            <w:shd w:val="clear" w:color="auto" w:fill="auto"/>
            <w:noWrap/>
            <w:vAlign w:val="center"/>
            <w:hideMark/>
          </w:tcPr>
          <w:p w14:paraId="2B9EC6D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4.166,37 € </w:t>
            </w:r>
          </w:p>
        </w:tc>
        <w:tc>
          <w:tcPr>
            <w:tcW w:w="1065" w:type="dxa"/>
            <w:tcBorders>
              <w:top w:val="nil"/>
              <w:left w:val="nil"/>
              <w:bottom w:val="single" w:sz="4" w:space="0" w:color="auto"/>
              <w:right w:val="single" w:sz="4" w:space="0" w:color="auto"/>
            </w:tcBorders>
            <w:shd w:val="clear" w:color="auto" w:fill="auto"/>
            <w:noWrap/>
            <w:vAlign w:val="center"/>
            <w:hideMark/>
          </w:tcPr>
          <w:p w14:paraId="053EDEA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tcBorders>
              <w:top w:val="nil"/>
              <w:left w:val="nil"/>
              <w:bottom w:val="single" w:sz="4" w:space="0" w:color="auto"/>
              <w:right w:val="double" w:sz="6" w:space="0" w:color="auto"/>
            </w:tcBorders>
            <w:shd w:val="clear" w:color="auto" w:fill="auto"/>
            <w:noWrap/>
            <w:vAlign w:val="center"/>
            <w:hideMark/>
          </w:tcPr>
          <w:p w14:paraId="57F1720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62.355,38 € </w:t>
            </w:r>
          </w:p>
        </w:tc>
      </w:tr>
      <w:tr w:rsidR="00331593" w:rsidRPr="00331593" w14:paraId="7D78E650"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3C78314D"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2003</w:t>
            </w:r>
          </w:p>
        </w:tc>
        <w:tc>
          <w:tcPr>
            <w:tcW w:w="797" w:type="dxa"/>
            <w:tcBorders>
              <w:top w:val="nil"/>
              <w:left w:val="nil"/>
              <w:bottom w:val="nil"/>
              <w:right w:val="single" w:sz="4" w:space="0" w:color="auto"/>
            </w:tcBorders>
            <w:shd w:val="clear" w:color="auto" w:fill="auto"/>
            <w:noWrap/>
            <w:vAlign w:val="center"/>
            <w:hideMark/>
          </w:tcPr>
          <w:p w14:paraId="6A08196F"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Jan-Mrz</w:t>
            </w:r>
          </w:p>
        </w:tc>
        <w:tc>
          <w:tcPr>
            <w:tcW w:w="1134" w:type="dxa"/>
            <w:tcBorders>
              <w:top w:val="nil"/>
              <w:left w:val="nil"/>
              <w:bottom w:val="nil"/>
              <w:right w:val="single" w:sz="4" w:space="0" w:color="auto"/>
            </w:tcBorders>
            <w:shd w:val="clear" w:color="auto" w:fill="auto"/>
            <w:noWrap/>
            <w:vAlign w:val="center"/>
            <w:hideMark/>
          </w:tcPr>
          <w:p w14:paraId="53C4959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4.827,78 € </w:t>
            </w:r>
          </w:p>
        </w:tc>
        <w:tc>
          <w:tcPr>
            <w:tcW w:w="992" w:type="dxa"/>
            <w:tcBorders>
              <w:top w:val="nil"/>
              <w:left w:val="nil"/>
              <w:bottom w:val="nil"/>
              <w:right w:val="single" w:sz="4" w:space="0" w:color="auto"/>
            </w:tcBorders>
            <w:shd w:val="clear" w:color="auto" w:fill="auto"/>
            <w:noWrap/>
            <w:vAlign w:val="center"/>
            <w:hideMark/>
          </w:tcPr>
          <w:p w14:paraId="37AB624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44E6F06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15D6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58.976,19 €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85AC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E9C5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255,65 €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50919E7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59.871,84 € </w:t>
            </w:r>
          </w:p>
        </w:tc>
      </w:tr>
      <w:tr w:rsidR="00331593" w:rsidRPr="00331593" w14:paraId="468DDCFC"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222875EA"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05404663"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Apr-Dez</w:t>
            </w:r>
          </w:p>
        </w:tc>
        <w:tc>
          <w:tcPr>
            <w:tcW w:w="1134" w:type="dxa"/>
            <w:tcBorders>
              <w:top w:val="nil"/>
              <w:left w:val="nil"/>
              <w:bottom w:val="single" w:sz="4" w:space="0" w:color="auto"/>
              <w:right w:val="single" w:sz="4" w:space="0" w:color="auto"/>
            </w:tcBorders>
            <w:shd w:val="clear" w:color="auto" w:fill="auto"/>
            <w:noWrap/>
            <w:vAlign w:val="center"/>
            <w:hideMark/>
          </w:tcPr>
          <w:p w14:paraId="0DD8F62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4.943,65 € </w:t>
            </w:r>
          </w:p>
        </w:tc>
        <w:tc>
          <w:tcPr>
            <w:tcW w:w="992" w:type="dxa"/>
            <w:tcBorders>
              <w:top w:val="nil"/>
              <w:left w:val="nil"/>
              <w:bottom w:val="single" w:sz="4" w:space="0" w:color="auto"/>
              <w:right w:val="single" w:sz="4" w:space="0" w:color="auto"/>
            </w:tcBorders>
            <w:shd w:val="clear" w:color="auto" w:fill="auto"/>
            <w:noWrap/>
            <w:vAlign w:val="center"/>
            <w:hideMark/>
          </w:tcPr>
          <w:p w14:paraId="57689DE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37F397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22CC055D"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7F67BAF"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vMerge/>
            <w:tcBorders>
              <w:top w:val="nil"/>
              <w:left w:val="single" w:sz="4" w:space="0" w:color="auto"/>
              <w:bottom w:val="single" w:sz="4" w:space="0" w:color="000000"/>
              <w:right w:val="single" w:sz="4" w:space="0" w:color="auto"/>
            </w:tcBorders>
            <w:vAlign w:val="center"/>
            <w:hideMark/>
          </w:tcPr>
          <w:p w14:paraId="15F3933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134" w:type="dxa"/>
            <w:vMerge/>
            <w:tcBorders>
              <w:top w:val="nil"/>
              <w:left w:val="single" w:sz="4" w:space="0" w:color="auto"/>
              <w:bottom w:val="single" w:sz="4" w:space="0" w:color="000000"/>
              <w:right w:val="double" w:sz="6" w:space="0" w:color="auto"/>
            </w:tcBorders>
            <w:vAlign w:val="center"/>
            <w:hideMark/>
          </w:tcPr>
          <w:p w14:paraId="3C633FA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E00C5FB"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4B6377ED"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2004</w:t>
            </w:r>
          </w:p>
        </w:tc>
        <w:tc>
          <w:tcPr>
            <w:tcW w:w="797" w:type="dxa"/>
            <w:tcBorders>
              <w:top w:val="nil"/>
              <w:left w:val="nil"/>
              <w:bottom w:val="nil"/>
              <w:right w:val="single" w:sz="4" w:space="0" w:color="auto"/>
            </w:tcBorders>
            <w:shd w:val="clear" w:color="auto" w:fill="auto"/>
            <w:noWrap/>
            <w:vAlign w:val="center"/>
            <w:hideMark/>
          </w:tcPr>
          <w:p w14:paraId="41FCAAC5"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Jan-Mrz</w:t>
            </w:r>
          </w:p>
        </w:tc>
        <w:tc>
          <w:tcPr>
            <w:tcW w:w="1134" w:type="dxa"/>
            <w:tcBorders>
              <w:top w:val="nil"/>
              <w:left w:val="nil"/>
              <w:bottom w:val="nil"/>
              <w:right w:val="single" w:sz="4" w:space="0" w:color="auto"/>
            </w:tcBorders>
            <w:shd w:val="clear" w:color="auto" w:fill="auto"/>
            <w:noWrap/>
            <w:vAlign w:val="center"/>
            <w:hideMark/>
          </w:tcPr>
          <w:p w14:paraId="1530221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4.943,65 € </w:t>
            </w:r>
          </w:p>
        </w:tc>
        <w:tc>
          <w:tcPr>
            <w:tcW w:w="992" w:type="dxa"/>
            <w:tcBorders>
              <w:top w:val="nil"/>
              <w:left w:val="nil"/>
              <w:bottom w:val="nil"/>
              <w:right w:val="single" w:sz="4" w:space="0" w:color="auto"/>
            </w:tcBorders>
            <w:shd w:val="clear" w:color="auto" w:fill="auto"/>
            <w:noWrap/>
            <w:vAlign w:val="center"/>
            <w:hideMark/>
          </w:tcPr>
          <w:p w14:paraId="7298434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565A488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DF49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60.018,41 €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BDBEA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5848703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6E062D3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60.658,41 € </w:t>
            </w:r>
          </w:p>
        </w:tc>
      </w:tr>
      <w:tr w:rsidR="00331593" w:rsidRPr="00331593" w14:paraId="65113030"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7EB820E5"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nil"/>
              <w:right w:val="single" w:sz="4" w:space="0" w:color="auto"/>
            </w:tcBorders>
            <w:shd w:val="clear" w:color="auto" w:fill="auto"/>
            <w:noWrap/>
            <w:vAlign w:val="center"/>
            <w:hideMark/>
          </w:tcPr>
          <w:p w14:paraId="78D2F4FD"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Apr-Jul</w:t>
            </w:r>
          </w:p>
        </w:tc>
        <w:tc>
          <w:tcPr>
            <w:tcW w:w="1134" w:type="dxa"/>
            <w:tcBorders>
              <w:top w:val="nil"/>
              <w:left w:val="nil"/>
              <w:bottom w:val="nil"/>
              <w:right w:val="single" w:sz="4" w:space="0" w:color="auto"/>
            </w:tcBorders>
            <w:shd w:val="clear" w:color="auto" w:fill="auto"/>
            <w:noWrap/>
            <w:vAlign w:val="center"/>
            <w:hideMark/>
          </w:tcPr>
          <w:p w14:paraId="500D7B3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4.993,09 € </w:t>
            </w:r>
          </w:p>
        </w:tc>
        <w:tc>
          <w:tcPr>
            <w:tcW w:w="992" w:type="dxa"/>
            <w:tcBorders>
              <w:top w:val="nil"/>
              <w:left w:val="nil"/>
              <w:bottom w:val="nil"/>
              <w:right w:val="single" w:sz="4" w:space="0" w:color="auto"/>
            </w:tcBorders>
            <w:shd w:val="clear" w:color="auto" w:fill="auto"/>
            <w:noWrap/>
            <w:vAlign w:val="center"/>
            <w:hideMark/>
          </w:tcPr>
          <w:p w14:paraId="303D60E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3DBA2E1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2A8620F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76AB4E9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nil"/>
              <w:right w:val="single" w:sz="4" w:space="0" w:color="auto"/>
            </w:tcBorders>
            <w:shd w:val="clear" w:color="auto" w:fill="auto"/>
            <w:noWrap/>
            <w:vAlign w:val="center"/>
            <w:hideMark/>
          </w:tcPr>
          <w:p w14:paraId="24F2CCC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11A79524"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22D9A434"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5F727E6C"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4668DF08"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4041220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1DC3448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727DA2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7EE933CD"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537548AA"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5571921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00FDC77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3E49315A"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127D2A6C"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lastRenderedPageBreak/>
              <w:t>2005</w:t>
            </w:r>
          </w:p>
        </w:tc>
        <w:tc>
          <w:tcPr>
            <w:tcW w:w="797" w:type="dxa"/>
            <w:tcBorders>
              <w:top w:val="nil"/>
              <w:left w:val="nil"/>
              <w:bottom w:val="single" w:sz="4" w:space="0" w:color="auto"/>
              <w:right w:val="single" w:sz="4" w:space="0" w:color="auto"/>
            </w:tcBorders>
            <w:shd w:val="clear" w:color="auto" w:fill="auto"/>
            <w:noWrap/>
            <w:vAlign w:val="center"/>
            <w:hideMark/>
          </w:tcPr>
          <w:p w14:paraId="66D133CE"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02BD61B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365B16B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5F82D41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0EE83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60.516,24 € </w:t>
            </w:r>
          </w:p>
        </w:tc>
        <w:tc>
          <w:tcPr>
            <w:tcW w:w="993" w:type="dxa"/>
            <w:tcBorders>
              <w:top w:val="nil"/>
              <w:left w:val="nil"/>
              <w:bottom w:val="single" w:sz="4" w:space="0" w:color="auto"/>
              <w:right w:val="single" w:sz="4" w:space="0" w:color="auto"/>
            </w:tcBorders>
            <w:shd w:val="clear" w:color="auto" w:fill="auto"/>
            <w:noWrap/>
            <w:vAlign w:val="center"/>
            <w:hideMark/>
          </w:tcPr>
          <w:p w14:paraId="0BEE935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single" w:sz="4" w:space="0" w:color="auto"/>
              <w:right w:val="single" w:sz="4" w:space="0" w:color="auto"/>
            </w:tcBorders>
            <w:shd w:val="clear" w:color="auto" w:fill="auto"/>
            <w:noWrap/>
            <w:vAlign w:val="center"/>
            <w:hideMark/>
          </w:tcPr>
          <w:p w14:paraId="5A974DE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7994032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61.156,24 € </w:t>
            </w:r>
          </w:p>
        </w:tc>
      </w:tr>
      <w:tr w:rsidR="00331593" w:rsidRPr="00331593" w14:paraId="76605B1B"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18F7293B"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2006</w:t>
            </w:r>
          </w:p>
        </w:tc>
        <w:tc>
          <w:tcPr>
            <w:tcW w:w="797" w:type="dxa"/>
            <w:tcBorders>
              <w:top w:val="nil"/>
              <w:left w:val="nil"/>
              <w:bottom w:val="single" w:sz="4" w:space="0" w:color="auto"/>
              <w:right w:val="single" w:sz="4" w:space="0" w:color="auto"/>
            </w:tcBorders>
            <w:shd w:val="clear" w:color="auto" w:fill="auto"/>
            <w:noWrap/>
            <w:vAlign w:val="center"/>
            <w:hideMark/>
          </w:tcPr>
          <w:p w14:paraId="5CF5869C"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523A082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1756C4B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76C4609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BA53B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60.516,24 € </w:t>
            </w:r>
          </w:p>
        </w:tc>
        <w:tc>
          <w:tcPr>
            <w:tcW w:w="993" w:type="dxa"/>
            <w:tcBorders>
              <w:top w:val="nil"/>
              <w:left w:val="nil"/>
              <w:bottom w:val="single" w:sz="4" w:space="0" w:color="auto"/>
              <w:right w:val="single" w:sz="4" w:space="0" w:color="auto"/>
            </w:tcBorders>
            <w:shd w:val="clear" w:color="auto" w:fill="auto"/>
            <w:noWrap/>
            <w:vAlign w:val="center"/>
            <w:hideMark/>
          </w:tcPr>
          <w:p w14:paraId="152ADC8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single" w:sz="4" w:space="0" w:color="auto"/>
              <w:right w:val="single" w:sz="4" w:space="0" w:color="auto"/>
            </w:tcBorders>
            <w:shd w:val="clear" w:color="auto" w:fill="auto"/>
            <w:noWrap/>
            <w:vAlign w:val="center"/>
            <w:hideMark/>
          </w:tcPr>
          <w:p w14:paraId="285A748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3135C20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61.156,24 € </w:t>
            </w:r>
          </w:p>
        </w:tc>
      </w:tr>
      <w:tr w:rsidR="00331593" w:rsidRPr="00331593" w14:paraId="3B5DE2B9"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6994043B"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2007</w:t>
            </w:r>
          </w:p>
        </w:tc>
        <w:tc>
          <w:tcPr>
            <w:tcW w:w="797" w:type="dxa"/>
            <w:tcBorders>
              <w:top w:val="nil"/>
              <w:left w:val="nil"/>
              <w:bottom w:val="single" w:sz="4" w:space="0" w:color="auto"/>
              <w:right w:val="single" w:sz="4" w:space="0" w:color="auto"/>
            </w:tcBorders>
            <w:shd w:val="clear" w:color="auto" w:fill="auto"/>
            <w:noWrap/>
            <w:vAlign w:val="center"/>
            <w:hideMark/>
          </w:tcPr>
          <w:p w14:paraId="6E733B2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55B11A5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064C471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374EE0E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17625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60.516,24 € </w:t>
            </w:r>
          </w:p>
        </w:tc>
        <w:tc>
          <w:tcPr>
            <w:tcW w:w="993" w:type="dxa"/>
            <w:tcBorders>
              <w:top w:val="nil"/>
              <w:left w:val="nil"/>
              <w:bottom w:val="single" w:sz="4" w:space="0" w:color="auto"/>
              <w:right w:val="single" w:sz="4" w:space="0" w:color="auto"/>
            </w:tcBorders>
            <w:shd w:val="clear" w:color="auto" w:fill="auto"/>
            <w:noWrap/>
            <w:vAlign w:val="center"/>
            <w:hideMark/>
          </w:tcPr>
          <w:p w14:paraId="6425CFE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single" w:sz="4" w:space="0" w:color="auto"/>
              <w:right w:val="single" w:sz="4" w:space="0" w:color="auto"/>
            </w:tcBorders>
            <w:shd w:val="clear" w:color="auto" w:fill="auto"/>
            <w:noWrap/>
            <w:vAlign w:val="center"/>
            <w:hideMark/>
          </w:tcPr>
          <w:p w14:paraId="19A567E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7990998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61.156,24 € </w:t>
            </w:r>
          </w:p>
        </w:tc>
      </w:tr>
      <w:tr w:rsidR="00331593" w:rsidRPr="00331593" w14:paraId="5D13251D"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1BCFAC99"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2008</w:t>
            </w:r>
          </w:p>
        </w:tc>
        <w:tc>
          <w:tcPr>
            <w:tcW w:w="797" w:type="dxa"/>
            <w:tcBorders>
              <w:top w:val="nil"/>
              <w:left w:val="nil"/>
              <w:bottom w:val="single" w:sz="4" w:space="0" w:color="auto"/>
              <w:right w:val="single" w:sz="4" w:space="0" w:color="auto"/>
            </w:tcBorders>
            <w:shd w:val="clear" w:color="auto" w:fill="auto"/>
            <w:noWrap/>
            <w:vAlign w:val="center"/>
            <w:hideMark/>
          </w:tcPr>
          <w:p w14:paraId="091D37D0"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40F2CBF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3D871B9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033B5D4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7667A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60.516,24 € </w:t>
            </w:r>
          </w:p>
        </w:tc>
        <w:tc>
          <w:tcPr>
            <w:tcW w:w="993" w:type="dxa"/>
            <w:tcBorders>
              <w:top w:val="nil"/>
              <w:left w:val="nil"/>
              <w:bottom w:val="single" w:sz="4" w:space="0" w:color="auto"/>
              <w:right w:val="single" w:sz="4" w:space="0" w:color="auto"/>
            </w:tcBorders>
            <w:shd w:val="clear" w:color="auto" w:fill="auto"/>
            <w:noWrap/>
            <w:vAlign w:val="center"/>
            <w:hideMark/>
          </w:tcPr>
          <w:p w14:paraId="34742D7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940,00 € </w:t>
            </w:r>
          </w:p>
        </w:tc>
        <w:tc>
          <w:tcPr>
            <w:tcW w:w="1065" w:type="dxa"/>
            <w:tcBorders>
              <w:top w:val="nil"/>
              <w:left w:val="nil"/>
              <w:bottom w:val="single" w:sz="4" w:space="0" w:color="auto"/>
              <w:right w:val="single" w:sz="4" w:space="0" w:color="auto"/>
            </w:tcBorders>
            <w:shd w:val="clear" w:color="auto" w:fill="auto"/>
            <w:noWrap/>
            <w:vAlign w:val="center"/>
            <w:hideMark/>
          </w:tcPr>
          <w:p w14:paraId="68021CD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3419CE7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61.456,24 € </w:t>
            </w:r>
          </w:p>
        </w:tc>
      </w:tr>
      <w:tr w:rsidR="00331593" w:rsidRPr="00331593" w14:paraId="12AA9A57" w14:textId="77777777" w:rsidTr="00331593">
        <w:trPr>
          <w:trHeight w:val="288"/>
        </w:trPr>
        <w:tc>
          <w:tcPr>
            <w:tcW w:w="740" w:type="dxa"/>
            <w:tcBorders>
              <w:top w:val="nil"/>
              <w:left w:val="double" w:sz="6" w:space="0" w:color="auto"/>
              <w:bottom w:val="single" w:sz="4" w:space="0" w:color="auto"/>
              <w:right w:val="single" w:sz="4" w:space="0" w:color="auto"/>
            </w:tcBorders>
            <w:shd w:val="clear" w:color="000000" w:fill="D9D9D9"/>
            <w:noWrap/>
            <w:vAlign w:val="center"/>
            <w:hideMark/>
          </w:tcPr>
          <w:p w14:paraId="4283C0F9"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2009</w:t>
            </w:r>
          </w:p>
        </w:tc>
        <w:tc>
          <w:tcPr>
            <w:tcW w:w="797" w:type="dxa"/>
            <w:tcBorders>
              <w:top w:val="nil"/>
              <w:left w:val="nil"/>
              <w:bottom w:val="single" w:sz="4" w:space="0" w:color="auto"/>
              <w:right w:val="single" w:sz="4" w:space="0" w:color="auto"/>
            </w:tcBorders>
            <w:shd w:val="clear" w:color="auto" w:fill="auto"/>
            <w:noWrap/>
            <w:vAlign w:val="center"/>
            <w:hideMark/>
          </w:tcPr>
          <w:p w14:paraId="538ED87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Jan-Dez</w:t>
            </w:r>
          </w:p>
        </w:tc>
        <w:tc>
          <w:tcPr>
            <w:tcW w:w="1134" w:type="dxa"/>
            <w:tcBorders>
              <w:top w:val="nil"/>
              <w:left w:val="nil"/>
              <w:bottom w:val="single" w:sz="4" w:space="0" w:color="auto"/>
              <w:right w:val="single" w:sz="4" w:space="0" w:color="auto"/>
            </w:tcBorders>
            <w:shd w:val="clear" w:color="auto" w:fill="auto"/>
            <w:noWrap/>
            <w:vAlign w:val="center"/>
            <w:hideMark/>
          </w:tcPr>
          <w:p w14:paraId="2A13161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single" w:sz="4" w:space="0" w:color="auto"/>
              <w:right w:val="single" w:sz="4" w:space="0" w:color="auto"/>
            </w:tcBorders>
            <w:shd w:val="clear" w:color="auto" w:fill="auto"/>
            <w:noWrap/>
            <w:vAlign w:val="center"/>
            <w:hideMark/>
          </w:tcPr>
          <w:p w14:paraId="39422C9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3AB49ED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3DF0E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60.516,24 € </w:t>
            </w:r>
          </w:p>
        </w:tc>
        <w:tc>
          <w:tcPr>
            <w:tcW w:w="993" w:type="dxa"/>
            <w:tcBorders>
              <w:top w:val="nil"/>
              <w:left w:val="nil"/>
              <w:bottom w:val="single" w:sz="4" w:space="0" w:color="auto"/>
              <w:right w:val="single" w:sz="4" w:space="0" w:color="auto"/>
            </w:tcBorders>
            <w:shd w:val="clear" w:color="auto" w:fill="auto"/>
            <w:noWrap/>
            <w:vAlign w:val="center"/>
            <w:hideMark/>
          </w:tcPr>
          <w:p w14:paraId="695079A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940,00 € </w:t>
            </w:r>
          </w:p>
        </w:tc>
        <w:tc>
          <w:tcPr>
            <w:tcW w:w="1065" w:type="dxa"/>
            <w:tcBorders>
              <w:top w:val="nil"/>
              <w:left w:val="nil"/>
              <w:bottom w:val="single" w:sz="4" w:space="0" w:color="auto"/>
              <w:right w:val="single" w:sz="4" w:space="0" w:color="auto"/>
            </w:tcBorders>
            <w:shd w:val="clear" w:color="auto" w:fill="auto"/>
            <w:noWrap/>
            <w:vAlign w:val="center"/>
            <w:hideMark/>
          </w:tcPr>
          <w:p w14:paraId="4F5704E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586415F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61.456,24 € </w:t>
            </w:r>
          </w:p>
        </w:tc>
      </w:tr>
      <w:tr w:rsidR="00331593" w:rsidRPr="00331593" w14:paraId="426695CB"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35EFC2A3"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2010</w:t>
            </w:r>
          </w:p>
        </w:tc>
        <w:tc>
          <w:tcPr>
            <w:tcW w:w="797" w:type="dxa"/>
            <w:tcBorders>
              <w:top w:val="nil"/>
              <w:left w:val="nil"/>
              <w:bottom w:val="nil"/>
              <w:right w:val="single" w:sz="4" w:space="0" w:color="auto"/>
            </w:tcBorders>
            <w:shd w:val="clear" w:color="auto" w:fill="auto"/>
            <w:noWrap/>
            <w:vAlign w:val="center"/>
            <w:hideMark/>
          </w:tcPr>
          <w:p w14:paraId="4A0AC88C"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1ABC7AD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5.043,02 € </w:t>
            </w:r>
          </w:p>
        </w:tc>
        <w:tc>
          <w:tcPr>
            <w:tcW w:w="992" w:type="dxa"/>
            <w:tcBorders>
              <w:top w:val="nil"/>
              <w:left w:val="nil"/>
              <w:bottom w:val="nil"/>
              <w:right w:val="single" w:sz="4" w:space="0" w:color="auto"/>
            </w:tcBorders>
            <w:shd w:val="clear" w:color="auto" w:fill="auto"/>
            <w:noWrap/>
            <w:vAlign w:val="center"/>
            <w:hideMark/>
          </w:tcPr>
          <w:p w14:paraId="4BC0D3E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3F8F452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CAE0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60.894,49 €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D199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2C1C523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558AA19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61.534,49 € </w:t>
            </w:r>
          </w:p>
        </w:tc>
      </w:tr>
      <w:tr w:rsidR="00331593" w:rsidRPr="00331593" w14:paraId="5239B566"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748D6875"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FED36EE"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7A612DF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5.118,67 € </w:t>
            </w:r>
          </w:p>
        </w:tc>
        <w:tc>
          <w:tcPr>
            <w:tcW w:w="992" w:type="dxa"/>
            <w:tcBorders>
              <w:top w:val="nil"/>
              <w:left w:val="nil"/>
              <w:bottom w:val="single" w:sz="4" w:space="0" w:color="auto"/>
              <w:right w:val="single" w:sz="4" w:space="0" w:color="auto"/>
            </w:tcBorders>
            <w:shd w:val="clear" w:color="auto" w:fill="auto"/>
            <w:noWrap/>
            <w:vAlign w:val="center"/>
            <w:hideMark/>
          </w:tcPr>
          <w:p w14:paraId="7D2E218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DC9BB3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6F203892"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4227222A"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7256791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7A70BE19"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6C479806"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0AF0EEB0"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2011</w:t>
            </w:r>
          </w:p>
        </w:tc>
        <w:tc>
          <w:tcPr>
            <w:tcW w:w="797" w:type="dxa"/>
            <w:tcBorders>
              <w:top w:val="nil"/>
              <w:left w:val="nil"/>
              <w:bottom w:val="nil"/>
              <w:right w:val="single" w:sz="4" w:space="0" w:color="auto"/>
            </w:tcBorders>
            <w:shd w:val="clear" w:color="auto" w:fill="auto"/>
            <w:noWrap/>
            <w:vAlign w:val="center"/>
            <w:hideMark/>
          </w:tcPr>
          <w:p w14:paraId="5801873D"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4DAE1CE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5.118,67 € </w:t>
            </w:r>
          </w:p>
        </w:tc>
        <w:tc>
          <w:tcPr>
            <w:tcW w:w="992" w:type="dxa"/>
            <w:tcBorders>
              <w:top w:val="nil"/>
              <w:left w:val="nil"/>
              <w:bottom w:val="nil"/>
              <w:right w:val="single" w:sz="4" w:space="0" w:color="auto"/>
            </w:tcBorders>
            <w:shd w:val="clear" w:color="auto" w:fill="auto"/>
            <w:noWrap/>
            <w:vAlign w:val="center"/>
            <w:hideMark/>
          </w:tcPr>
          <w:p w14:paraId="2B98B44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1C48A4C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6BE8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62.020,69 €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86FD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6E57CF1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39B1925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62.660,69 € </w:t>
            </w:r>
          </w:p>
        </w:tc>
      </w:tr>
      <w:tr w:rsidR="00331593" w:rsidRPr="00331593" w14:paraId="192A9B79"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11A01385"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45199A2D"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023C876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5.238,00 € </w:t>
            </w:r>
          </w:p>
        </w:tc>
        <w:tc>
          <w:tcPr>
            <w:tcW w:w="992" w:type="dxa"/>
            <w:tcBorders>
              <w:top w:val="nil"/>
              <w:left w:val="nil"/>
              <w:bottom w:val="single" w:sz="4" w:space="0" w:color="auto"/>
              <w:right w:val="single" w:sz="4" w:space="0" w:color="auto"/>
            </w:tcBorders>
            <w:shd w:val="clear" w:color="auto" w:fill="auto"/>
            <w:noWrap/>
            <w:vAlign w:val="center"/>
            <w:hideMark/>
          </w:tcPr>
          <w:p w14:paraId="6723C9E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3052E9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58D9EE09"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B8DC78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492C745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4977EF7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1B051D1E"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129B325F"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2012</w:t>
            </w:r>
          </w:p>
        </w:tc>
        <w:tc>
          <w:tcPr>
            <w:tcW w:w="797" w:type="dxa"/>
            <w:tcBorders>
              <w:top w:val="nil"/>
              <w:left w:val="nil"/>
              <w:bottom w:val="nil"/>
              <w:right w:val="single" w:sz="4" w:space="0" w:color="auto"/>
            </w:tcBorders>
            <w:shd w:val="clear" w:color="auto" w:fill="auto"/>
            <w:noWrap/>
            <w:vAlign w:val="center"/>
            <w:hideMark/>
          </w:tcPr>
          <w:p w14:paraId="66E82FF0"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74840AB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5.238,00 € </w:t>
            </w:r>
          </w:p>
        </w:tc>
        <w:tc>
          <w:tcPr>
            <w:tcW w:w="992" w:type="dxa"/>
            <w:tcBorders>
              <w:top w:val="nil"/>
              <w:left w:val="nil"/>
              <w:bottom w:val="nil"/>
              <w:right w:val="single" w:sz="4" w:space="0" w:color="auto"/>
            </w:tcBorders>
            <w:shd w:val="clear" w:color="auto" w:fill="auto"/>
            <w:noWrap/>
            <w:vAlign w:val="center"/>
            <w:hideMark/>
          </w:tcPr>
          <w:p w14:paraId="089AEF7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3AE2311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2901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63.379,80 €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F379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4F64AF9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64B1FB5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64.019,80 € </w:t>
            </w:r>
          </w:p>
        </w:tc>
      </w:tr>
      <w:tr w:rsidR="00331593" w:rsidRPr="00331593" w14:paraId="4C27FC44"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2E3AC4D1"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1F9D5341"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718FA97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5.342,76 € </w:t>
            </w:r>
          </w:p>
        </w:tc>
        <w:tc>
          <w:tcPr>
            <w:tcW w:w="992" w:type="dxa"/>
            <w:tcBorders>
              <w:top w:val="nil"/>
              <w:left w:val="nil"/>
              <w:bottom w:val="single" w:sz="4" w:space="0" w:color="auto"/>
              <w:right w:val="single" w:sz="4" w:space="0" w:color="auto"/>
            </w:tcBorders>
            <w:shd w:val="clear" w:color="auto" w:fill="auto"/>
            <w:noWrap/>
            <w:vAlign w:val="center"/>
            <w:hideMark/>
          </w:tcPr>
          <w:p w14:paraId="2F655E0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5ED4E8B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28F09AD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170BBDD"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4CE3E8F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5E6E6510"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28900DAE"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3505944C"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2013</w:t>
            </w:r>
          </w:p>
        </w:tc>
        <w:tc>
          <w:tcPr>
            <w:tcW w:w="797" w:type="dxa"/>
            <w:tcBorders>
              <w:top w:val="nil"/>
              <w:left w:val="nil"/>
              <w:bottom w:val="nil"/>
              <w:right w:val="single" w:sz="4" w:space="0" w:color="auto"/>
            </w:tcBorders>
            <w:shd w:val="clear" w:color="auto" w:fill="auto"/>
            <w:noWrap/>
            <w:vAlign w:val="center"/>
            <w:hideMark/>
          </w:tcPr>
          <w:p w14:paraId="3216E80D"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33D0F64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5.342,76 € </w:t>
            </w:r>
          </w:p>
        </w:tc>
        <w:tc>
          <w:tcPr>
            <w:tcW w:w="992" w:type="dxa"/>
            <w:tcBorders>
              <w:top w:val="nil"/>
              <w:left w:val="nil"/>
              <w:bottom w:val="nil"/>
              <w:right w:val="single" w:sz="4" w:space="0" w:color="auto"/>
            </w:tcBorders>
            <w:shd w:val="clear" w:color="auto" w:fill="auto"/>
            <w:noWrap/>
            <w:vAlign w:val="center"/>
            <w:hideMark/>
          </w:tcPr>
          <w:p w14:paraId="72855E3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017CE61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4909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64.647,42 €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B070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17CA9D8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5309585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65.287,42 € </w:t>
            </w:r>
          </w:p>
        </w:tc>
      </w:tr>
      <w:tr w:rsidR="00331593" w:rsidRPr="00331593" w14:paraId="37FA7AB2"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39698588"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20348A8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1AB3018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5.449,62 € </w:t>
            </w:r>
          </w:p>
        </w:tc>
        <w:tc>
          <w:tcPr>
            <w:tcW w:w="992" w:type="dxa"/>
            <w:tcBorders>
              <w:top w:val="nil"/>
              <w:left w:val="nil"/>
              <w:bottom w:val="single" w:sz="4" w:space="0" w:color="auto"/>
              <w:right w:val="single" w:sz="4" w:space="0" w:color="auto"/>
            </w:tcBorders>
            <w:shd w:val="clear" w:color="auto" w:fill="auto"/>
            <w:noWrap/>
            <w:vAlign w:val="center"/>
            <w:hideMark/>
          </w:tcPr>
          <w:p w14:paraId="604EA9D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44D6FC2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0694CDA6"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15A20C7C"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04C5A6D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2D9E965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11CB20C"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1F41D881"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2014</w:t>
            </w:r>
          </w:p>
        </w:tc>
        <w:tc>
          <w:tcPr>
            <w:tcW w:w="797" w:type="dxa"/>
            <w:tcBorders>
              <w:top w:val="nil"/>
              <w:left w:val="nil"/>
              <w:bottom w:val="nil"/>
              <w:right w:val="single" w:sz="4" w:space="0" w:color="auto"/>
            </w:tcBorders>
            <w:shd w:val="clear" w:color="auto" w:fill="auto"/>
            <w:noWrap/>
            <w:vAlign w:val="center"/>
            <w:hideMark/>
          </w:tcPr>
          <w:p w14:paraId="3C1B9E89"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0A9DC72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5.449,62 € </w:t>
            </w:r>
          </w:p>
        </w:tc>
        <w:tc>
          <w:tcPr>
            <w:tcW w:w="992" w:type="dxa"/>
            <w:tcBorders>
              <w:top w:val="nil"/>
              <w:left w:val="nil"/>
              <w:bottom w:val="nil"/>
              <w:right w:val="single" w:sz="4" w:space="0" w:color="auto"/>
            </w:tcBorders>
            <w:shd w:val="clear" w:color="auto" w:fill="auto"/>
            <w:noWrap/>
            <w:vAlign w:val="center"/>
            <w:hideMark/>
          </w:tcPr>
          <w:p w14:paraId="61EE3E1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0BD1F70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E206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66.212,89 €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EFCD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25A6BEF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08F9C58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66.852,89 € </w:t>
            </w:r>
          </w:p>
        </w:tc>
      </w:tr>
      <w:tr w:rsidR="00331593" w:rsidRPr="00331593" w14:paraId="74FE9D63"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74E771EA"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E0A0C13"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127E2EA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5.613,11 € </w:t>
            </w:r>
          </w:p>
        </w:tc>
        <w:tc>
          <w:tcPr>
            <w:tcW w:w="992" w:type="dxa"/>
            <w:tcBorders>
              <w:top w:val="nil"/>
              <w:left w:val="nil"/>
              <w:bottom w:val="single" w:sz="4" w:space="0" w:color="auto"/>
              <w:right w:val="single" w:sz="4" w:space="0" w:color="auto"/>
            </w:tcBorders>
            <w:shd w:val="clear" w:color="auto" w:fill="auto"/>
            <w:noWrap/>
            <w:vAlign w:val="center"/>
            <w:hideMark/>
          </w:tcPr>
          <w:p w14:paraId="0DD0E9A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22A17B5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2805D595"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2DF7D37"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52D3506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0FC0DD83"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CDD32A9"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66E8E502"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2015</w:t>
            </w:r>
          </w:p>
        </w:tc>
        <w:tc>
          <w:tcPr>
            <w:tcW w:w="797" w:type="dxa"/>
            <w:tcBorders>
              <w:top w:val="nil"/>
              <w:left w:val="nil"/>
              <w:bottom w:val="nil"/>
              <w:right w:val="single" w:sz="4" w:space="0" w:color="auto"/>
            </w:tcBorders>
            <w:shd w:val="clear" w:color="auto" w:fill="auto"/>
            <w:noWrap/>
            <w:vAlign w:val="center"/>
            <w:hideMark/>
          </w:tcPr>
          <w:p w14:paraId="0FA67C49"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00FAA7F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5.613,11 € </w:t>
            </w:r>
          </w:p>
        </w:tc>
        <w:tc>
          <w:tcPr>
            <w:tcW w:w="992" w:type="dxa"/>
            <w:tcBorders>
              <w:top w:val="nil"/>
              <w:left w:val="nil"/>
              <w:bottom w:val="nil"/>
              <w:right w:val="single" w:sz="4" w:space="0" w:color="auto"/>
            </w:tcBorders>
            <w:shd w:val="clear" w:color="auto" w:fill="auto"/>
            <w:noWrap/>
            <w:vAlign w:val="center"/>
            <w:hideMark/>
          </w:tcPr>
          <w:p w14:paraId="2B0B092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616ABCC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9696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68.199,27 €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CCE9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197E1F3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168163C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68.839,27 € </w:t>
            </w:r>
          </w:p>
        </w:tc>
      </w:tr>
      <w:tr w:rsidR="00331593" w:rsidRPr="00331593" w14:paraId="6D223019"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4CED8324"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4ECCDEC2"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248A9AC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5.781,50 € </w:t>
            </w:r>
          </w:p>
        </w:tc>
        <w:tc>
          <w:tcPr>
            <w:tcW w:w="992" w:type="dxa"/>
            <w:tcBorders>
              <w:top w:val="nil"/>
              <w:left w:val="nil"/>
              <w:bottom w:val="single" w:sz="4" w:space="0" w:color="auto"/>
              <w:right w:val="single" w:sz="4" w:space="0" w:color="auto"/>
            </w:tcBorders>
            <w:shd w:val="clear" w:color="auto" w:fill="auto"/>
            <w:noWrap/>
            <w:vAlign w:val="center"/>
            <w:hideMark/>
          </w:tcPr>
          <w:p w14:paraId="7460D07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412AF91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28A3C63F"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DF92A44"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4AD7423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3F139404"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092B747B"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539C1655"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2016</w:t>
            </w:r>
          </w:p>
        </w:tc>
        <w:tc>
          <w:tcPr>
            <w:tcW w:w="797" w:type="dxa"/>
            <w:tcBorders>
              <w:top w:val="nil"/>
              <w:left w:val="nil"/>
              <w:bottom w:val="nil"/>
              <w:right w:val="single" w:sz="4" w:space="0" w:color="auto"/>
            </w:tcBorders>
            <w:shd w:val="clear" w:color="auto" w:fill="auto"/>
            <w:noWrap/>
            <w:vAlign w:val="center"/>
            <w:hideMark/>
          </w:tcPr>
          <w:p w14:paraId="2611A069"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0D43945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5.781,50 € </w:t>
            </w:r>
          </w:p>
        </w:tc>
        <w:tc>
          <w:tcPr>
            <w:tcW w:w="992" w:type="dxa"/>
            <w:tcBorders>
              <w:top w:val="nil"/>
              <w:left w:val="nil"/>
              <w:bottom w:val="nil"/>
              <w:right w:val="single" w:sz="4" w:space="0" w:color="auto"/>
            </w:tcBorders>
            <w:shd w:val="clear" w:color="auto" w:fill="auto"/>
            <w:noWrap/>
            <w:vAlign w:val="center"/>
            <w:hideMark/>
          </w:tcPr>
          <w:p w14:paraId="749EB04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06DDC2D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7FE7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70.187,40 €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A88C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640,00 € </w:t>
            </w:r>
          </w:p>
        </w:tc>
        <w:tc>
          <w:tcPr>
            <w:tcW w:w="1065" w:type="dxa"/>
            <w:tcBorders>
              <w:top w:val="nil"/>
              <w:left w:val="nil"/>
              <w:bottom w:val="nil"/>
              <w:right w:val="single" w:sz="4" w:space="0" w:color="auto"/>
            </w:tcBorders>
            <w:shd w:val="clear" w:color="auto" w:fill="auto"/>
            <w:noWrap/>
            <w:vAlign w:val="center"/>
            <w:hideMark/>
          </w:tcPr>
          <w:p w14:paraId="109D265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77D3889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70.827,40 € </w:t>
            </w:r>
          </w:p>
        </w:tc>
      </w:tr>
      <w:tr w:rsidR="00331593" w:rsidRPr="00331593" w14:paraId="5F75CBCF"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63203693"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5DA7F77"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0A58DED0"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5.943,38 € </w:t>
            </w:r>
          </w:p>
        </w:tc>
        <w:tc>
          <w:tcPr>
            <w:tcW w:w="992" w:type="dxa"/>
            <w:tcBorders>
              <w:top w:val="nil"/>
              <w:left w:val="nil"/>
              <w:bottom w:val="single" w:sz="4" w:space="0" w:color="auto"/>
              <w:right w:val="single" w:sz="4" w:space="0" w:color="auto"/>
            </w:tcBorders>
            <w:shd w:val="clear" w:color="auto" w:fill="auto"/>
            <w:noWrap/>
            <w:vAlign w:val="center"/>
            <w:hideMark/>
          </w:tcPr>
          <w:p w14:paraId="0E68783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58D9186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1B8AA86D"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16C1220"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1A0015C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104FC644"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0A5C738E"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4518AB60"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2017</w:t>
            </w:r>
          </w:p>
        </w:tc>
        <w:tc>
          <w:tcPr>
            <w:tcW w:w="797" w:type="dxa"/>
            <w:tcBorders>
              <w:top w:val="nil"/>
              <w:left w:val="nil"/>
              <w:bottom w:val="nil"/>
              <w:right w:val="single" w:sz="4" w:space="0" w:color="auto"/>
            </w:tcBorders>
            <w:shd w:val="clear" w:color="auto" w:fill="auto"/>
            <w:noWrap/>
            <w:vAlign w:val="center"/>
            <w:hideMark/>
          </w:tcPr>
          <w:p w14:paraId="5E736048"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Jan-Jul</w:t>
            </w:r>
          </w:p>
        </w:tc>
        <w:tc>
          <w:tcPr>
            <w:tcW w:w="1134" w:type="dxa"/>
            <w:tcBorders>
              <w:top w:val="nil"/>
              <w:left w:val="nil"/>
              <w:bottom w:val="nil"/>
              <w:right w:val="single" w:sz="4" w:space="0" w:color="auto"/>
            </w:tcBorders>
            <w:shd w:val="clear" w:color="auto" w:fill="auto"/>
            <w:noWrap/>
            <w:vAlign w:val="center"/>
            <w:hideMark/>
          </w:tcPr>
          <w:p w14:paraId="0B41A54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5.943,38 € </w:t>
            </w:r>
          </w:p>
        </w:tc>
        <w:tc>
          <w:tcPr>
            <w:tcW w:w="992" w:type="dxa"/>
            <w:tcBorders>
              <w:top w:val="nil"/>
              <w:left w:val="nil"/>
              <w:bottom w:val="nil"/>
              <w:right w:val="single" w:sz="4" w:space="0" w:color="auto"/>
            </w:tcBorders>
            <w:shd w:val="clear" w:color="auto" w:fill="auto"/>
            <w:noWrap/>
            <w:vAlign w:val="center"/>
            <w:hideMark/>
          </w:tcPr>
          <w:p w14:paraId="706DE5E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43191A8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nil"/>
              <w:right w:val="single" w:sz="4" w:space="0" w:color="auto"/>
            </w:tcBorders>
            <w:shd w:val="clear" w:color="auto" w:fill="auto"/>
            <w:noWrap/>
            <w:vAlign w:val="center"/>
            <w:hideMark/>
          </w:tcPr>
          <w:p w14:paraId="351C21A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72.093,21 € </w:t>
            </w:r>
          </w:p>
        </w:tc>
        <w:tc>
          <w:tcPr>
            <w:tcW w:w="993" w:type="dxa"/>
            <w:tcBorders>
              <w:top w:val="nil"/>
              <w:left w:val="nil"/>
              <w:bottom w:val="nil"/>
              <w:right w:val="single" w:sz="4" w:space="0" w:color="auto"/>
            </w:tcBorders>
            <w:shd w:val="clear" w:color="auto" w:fill="auto"/>
            <w:noWrap/>
            <w:vAlign w:val="center"/>
            <w:hideMark/>
          </w:tcPr>
          <w:p w14:paraId="1345129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800,00 € </w:t>
            </w:r>
          </w:p>
        </w:tc>
        <w:tc>
          <w:tcPr>
            <w:tcW w:w="1065" w:type="dxa"/>
            <w:tcBorders>
              <w:top w:val="nil"/>
              <w:left w:val="nil"/>
              <w:bottom w:val="nil"/>
              <w:right w:val="single" w:sz="4" w:space="0" w:color="auto"/>
            </w:tcBorders>
            <w:shd w:val="clear" w:color="auto" w:fill="auto"/>
            <w:noWrap/>
            <w:vAlign w:val="center"/>
            <w:hideMark/>
          </w:tcPr>
          <w:p w14:paraId="5BE6E06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nil"/>
              <w:right w:val="double" w:sz="6" w:space="0" w:color="auto"/>
            </w:tcBorders>
            <w:shd w:val="clear" w:color="auto" w:fill="auto"/>
            <w:noWrap/>
            <w:vAlign w:val="center"/>
            <w:hideMark/>
          </w:tcPr>
          <w:p w14:paraId="433CB0E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72.893,21 € </w:t>
            </w:r>
          </w:p>
        </w:tc>
      </w:tr>
      <w:tr w:rsidR="00331593" w:rsidRPr="00331593" w14:paraId="6FAA9B5B"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17C9C0F1"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31FB936D"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Aug-Dez</w:t>
            </w:r>
          </w:p>
        </w:tc>
        <w:tc>
          <w:tcPr>
            <w:tcW w:w="1134" w:type="dxa"/>
            <w:tcBorders>
              <w:top w:val="nil"/>
              <w:left w:val="nil"/>
              <w:bottom w:val="single" w:sz="4" w:space="0" w:color="auto"/>
              <w:right w:val="single" w:sz="4" w:space="0" w:color="auto"/>
            </w:tcBorders>
            <w:shd w:val="clear" w:color="auto" w:fill="auto"/>
            <w:noWrap/>
            <w:vAlign w:val="center"/>
            <w:hideMark/>
          </w:tcPr>
          <w:p w14:paraId="1B53871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6.097,91 € </w:t>
            </w:r>
          </w:p>
        </w:tc>
        <w:tc>
          <w:tcPr>
            <w:tcW w:w="992" w:type="dxa"/>
            <w:tcBorders>
              <w:top w:val="nil"/>
              <w:left w:val="nil"/>
              <w:bottom w:val="single" w:sz="4" w:space="0" w:color="auto"/>
              <w:right w:val="single" w:sz="4" w:space="0" w:color="auto"/>
            </w:tcBorders>
            <w:shd w:val="clear" w:color="auto" w:fill="auto"/>
            <w:noWrap/>
            <w:vAlign w:val="center"/>
            <w:hideMark/>
          </w:tcPr>
          <w:p w14:paraId="6E71D2D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1FB38F3A"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8A723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484CB97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065" w:type="dxa"/>
            <w:tcBorders>
              <w:top w:val="nil"/>
              <w:left w:val="nil"/>
              <w:bottom w:val="single" w:sz="4" w:space="0" w:color="auto"/>
              <w:right w:val="single" w:sz="4" w:space="0" w:color="auto"/>
            </w:tcBorders>
            <w:shd w:val="clear" w:color="auto" w:fill="auto"/>
            <w:noWrap/>
            <w:vAlign w:val="center"/>
            <w:hideMark/>
          </w:tcPr>
          <w:p w14:paraId="4274E6DF"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tcBorders>
              <w:top w:val="nil"/>
              <w:left w:val="nil"/>
              <w:bottom w:val="single" w:sz="4" w:space="0" w:color="auto"/>
              <w:right w:val="double" w:sz="6" w:space="0" w:color="auto"/>
            </w:tcBorders>
            <w:shd w:val="clear" w:color="auto" w:fill="auto"/>
            <w:noWrap/>
            <w:vAlign w:val="center"/>
            <w:hideMark/>
          </w:tcPr>
          <w:p w14:paraId="19C9D98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r>
      <w:tr w:rsidR="00331593" w:rsidRPr="00331593" w14:paraId="5383D89D" w14:textId="77777777" w:rsidTr="00331593">
        <w:trPr>
          <w:trHeight w:val="288"/>
        </w:trPr>
        <w:tc>
          <w:tcPr>
            <w:tcW w:w="740" w:type="dxa"/>
            <w:vMerge w:val="restart"/>
            <w:tcBorders>
              <w:top w:val="nil"/>
              <w:left w:val="double" w:sz="6" w:space="0" w:color="auto"/>
              <w:bottom w:val="nil"/>
              <w:right w:val="single" w:sz="4" w:space="0" w:color="auto"/>
            </w:tcBorders>
            <w:shd w:val="clear" w:color="000000" w:fill="D9D9D9"/>
            <w:noWrap/>
            <w:vAlign w:val="center"/>
            <w:hideMark/>
          </w:tcPr>
          <w:p w14:paraId="7F16DC4E"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2018</w:t>
            </w:r>
          </w:p>
        </w:tc>
        <w:tc>
          <w:tcPr>
            <w:tcW w:w="797" w:type="dxa"/>
            <w:tcBorders>
              <w:top w:val="nil"/>
              <w:left w:val="nil"/>
              <w:bottom w:val="nil"/>
              <w:right w:val="single" w:sz="4" w:space="0" w:color="auto"/>
            </w:tcBorders>
            <w:shd w:val="clear" w:color="auto" w:fill="auto"/>
            <w:noWrap/>
            <w:vAlign w:val="center"/>
            <w:hideMark/>
          </w:tcPr>
          <w:p w14:paraId="2B0E8C0E"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Jan-Mai</w:t>
            </w:r>
          </w:p>
        </w:tc>
        <w:tc>
          <w:tcPr>
            <w:tcW w:w="1134" w:type="dxa"/>
            <w:tcBorders>
              <w:top w:val="nil"/>
              <w:left w:val="nil"/>
              <w:bottom w:val="nil"/>
              <w:right w:val="single" w:sz="4" w:space="0" w:color="auto"/>
            </w:tcBorders>
            <w:shd w:val="clear" w:color="auto" w:fill="auto"/>
            <w:noWrap/>
            <w:vAlign w:val="center"/>
            <w:hideMark/>
          </w:tcPr>
          <w:p w14:paraId="681FC85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6.097,91 € </w:t>
            </w:r>
          </w:p>
        </w:tc>
        <w:tc>
          <w:tcPr>
            <w:tcW w:w="992" w:type="dxa"/>
            <w:tcBorders>
              <w:top w:val="nil"/>
              <w:left w:val="nil"/>
              <w:bottom w:val="nil"/>
              <w:right w:val="single" w:sz="4" w:space="0" w:color="auto"/>
            </w:tcBorders>
            <w:shd w:val="clear" w:color="auto" w:fill="auto"/>
            <w:noWrap/>
            <w:vAlign w:val="center"/>
            <w:hideMark/>
          </w:tcPr>
          <w:p w14:paraId="2655372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2E31979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0DC63"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74.540,83 €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390B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900,00 € </w:t>
            </w:r>
          </w:p>
        </w:tc>
        <w:tc>
          <w:tcPr>
            <w:tcW w:w="1065" w:type="dxa"/>
            <w:tcBorders>
              <w:top w:val="nil"/>
              <w:left w:val="nil"/>
              <w:bottom w:val="nil"/>
              <w:right w:val="single" w:sz="4" w:space="0" w:color="auto"/>
            </w:tcBorders>
            <w:shd w:val="clear" w:color="auto" w:fill="auto"/>
            <w:noWrap/>
            <w:vAlign w:val="center"/>
            <w:hideMark/>
          </w:tcPr>
          <w:p w14:paraId="0DB392A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3D0DBFC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75.440,83 € </w:t>
            </w:r>
          </w:p>
        </w:tc>
      </w:tr>
      <w:tr w:rsidR="00331593" w:rsidRPr="00331593" w14:paraId="0C606F74" w14:textId="77777777" w:rsidTr="00331593">
        <w:trPr>
          <w:trHeight w:val="288"/>
        </w:trPr>
        <w:tc>
          <w:tcPr>
            <w:tcW w:w="740" w:type="dxa"/>
            <w:vMerge/>
            <w:tcBorders>
              <w:top w:val="nil"/>
              <w:left w:val="double" w:sz="6" w:space="0" w:color="auto"/>
              <w:bottom w:val="nil"/>
              <w:right w:val="single" w:sz="4" w:space="0" w:color="auto"/>
            </w:tcBorders>
            <w:vAlign w:val="center"/>
            <w:hideMark/>
          </w:tcPr>
          <w:p w14:paraId="0419E145"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FE3CC8F"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Jun-Dez</w:t>
            </w:r>
          </w:p>
        </w:tc>
        <w:tc>
          <w:tcPr>
            <w:tcW w:w="1134" w:type="dxa"/>
            <w:tcBorders>
              <w:top w:val="nil"/>
              <w:left w:val="nil"/>
              <w:bottom w:val="single" w:sz="4" w:space="0" w:color="auto"/>
              <w:right w:val="single" w:sz="4" w:space="0" w:color="auto"/>
            </w:tcBorders>
            <w:shd w:val="clear" w:color="auto" w:fill="auto"/>
            <w:noWrap/>
            <w:vAlign w:val="center"/>
            <w:hideMark/>
          </w:tcPr>
          <w:p w14:paraId="112B888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6.293,04 € </w:t>
            </w:r>
          </w:p>
        </w:tc>
        <w:tc>
          <w:tcPr>
            <w:tcW w:w="992" w:type="dxa"/>
            <w:tcBorders>
              <w:top w:val="nil"/>
              <w:left w:val="nil"/>
              <w:bottom w:val="single" w:sz="4" w:space="0" w:color="auto"/>
              <w:right w:val="single" w:sz="4" w:space="0" w:color="auto"/>
            </w:tcBorders>
            <w:shd w:val="clear" w:color="auto" w:fill="auto"/>
            <w:noWrap/>
            <w:vAlign w:val="center"/>
            <w:hideMark/>
          </w:tcPr>
          <w:p w14:paraId="4E208EC2"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521196C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07D1EBCC"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1B4F97A0"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57789689"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4833F590"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6A84ADB" w14:textId="77777777" w:rsidTr="00331593">
        <w:trPr>
          <w:trHeight w:val="288"/>
        </w:trPr>
        <w:tc>
          <w:tcPr>
            <w:tcW w:w="740" w:type="dxa"/>
            <w:vMerge w:val="restart"/>
            <w:tcBorders>
              <w:top w:val="nil"/>
              <w:left w:val="double" w:sz="6" w:space="0" w:color="auto"/>
              <w:bottom w:val="single" w:sz="4" w:space="0" w:color="000000"/>
              <w:right w:val="single" w:sz="4" w:space="0" w:color="auto"/>
            </w:tcBorders>
            <w:shd w:val="clear" w:color="000000" w:fill="D9D9D9"/>
            <w:noWrap/>
            <w:vAlign w:val="center"/>
            <w:hideMark/>
          </w:tcPr>
          <w:p w14:paraId="6AA07C52"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2019</w:t>
            </w:r>
          </w:p>
        </w:tc>
        <w:tc>
          <w:tcPr>
            <w:tcW w:w="797" w:type="dxa"/>
            <w:tcBorders>
              <w:top w:val="nil"/>
              <w:left w:val="nil"/>
              <w:bottom w:val="nil"/>
              <w:right w:val="single" w:sz="4" w:space="0" w:color="auto"/>
            </w:tcBorders>
            <w:shd w:val="clear" w:color="auto" w:fill="auto"/>
            <w:noWrap/>
            <w:vAlign w:val="center"/>
            <w:hideMark/>
          </w:tcPr>
          <w:p w14:paraId="29CE450F"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Jan-Mrz</w:t>
            </w:r>
          </w:p>
        </w:tc>
        <w:tc>
          <w:tcPr>
            <w:tcW w:w="1134" w:type="dxa"/>
            <w:tcBorders>
              <w:top w:val="nil"/>
              <w:left w:val="nil"/>
              <w:bottom w:val="nil"/>
              <w:right w:val="single" w:sz="4" w:space="0" w:color="auto"/>
            </w:tcBorders>
            <w:shd w:val="clear" w:color="auto" w:fill="auto"/>
            <w:noWrap/>
            <w:vAlign w:val="center"/>
            <w:hideMark/>
          </w:tcPr>
          <w:p w14:paraId="693C202C"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6.293,04 € </w:t>
            </w:r>
          </w:p>
        </w:tc>
        <w:tc>
          <w:tcPr>
            <w:tcW w:w="992" w:type="dxa"/>
            <w:tcBorders>
              <w:top w:val="nil"/>
              <w:left w:val="nil"/>
              <w:bottom w:val="nil"/>
              <w:right w:val="single" w:sz="4" w:space="0" w:color="auto"/>
            </w:tcBorders>
            <w:shd w:val="clear" w:color="auto" w:fill="auto"/>
            <w:noWrap/>
            <w:vAlign w:val="center"/>
            <w:hideMark/>
          </w:tcPr>
          <w:p w14:paraId="42AB1C0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395E8BB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393A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77.951,88 €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5084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900,00 € </w:t>
            </w:r>
          </w:p>
        </w:tc>
        <w:tc>
          <w:tcPr>
            <w:tcW w:w="1065" w:type="dxa"/>
            <w:tcBorders>
              <w:top w:val="nil"/>
              <w:left w:val="nil"/>
              <w:bottom w:val="nil"/>
              <w:right w:val="single" w:sz="4" w:space="0" w:color="auto"/>
            </w:tcBorders>
            <w:shd w:val="clear" w:color="auto" w:fill="auto"/>
            <w:noWrap/>
            <w:vAlign w:val="center"/>
            <w:hideMark/>
          </w:tcPr>
          <w:p w14:paraId="537C2B2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single" w:sz="4" w:space="0" w:color="000000"/>
              <w:right w:val="double" w:sz="6" w:space="0" w:color="auto"/>
            </w:tcBorders>
            <w:shd w:val="clear" w:color="auto" w:fill="auto"/>
            <w:noWrap/>
            <w:vAlign w:val="center"/>
            <w:hideMark/>
          </w:tcPr>
          <w:p w14:paraId="5D8FF49E"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78.851,88 € </w:t>
            </w:r>
          </w:p>
        </w:tc>
      </w:tr>
      <w:tr w:rsidR="00331593" w:rsidRPr="00331593" w14:paraId="56EAE95A" w14:textId="77777777" w:rsidTr="00331593">
        <w:trPr>
          <w:trHeight w:val="288"/>
        </w:trPr>
        <w:tc>
          <w:tcPr>
            <w:tcW w:w="740" w:type="dxa"/>
            <w:vMerge/>
            <w:tcBorders>
              <w:top w:val="nil"/>
              <w:left w:val="double" w:sz="6" w:space="0" w:color="auto"/>
              <w:bottom w:val="single" w:sz="4" w:space="0" w:color="000000"/>
              <w:right w:val="single" w:sz="4" w:space="0" w:color="auto"/>
            </w:tcBorders>
            <w:vAlign w:val="center"/>
            <w:hideMark/>
          </w:tcPr>
          <w:p w14:paraId="314C9E42"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14:paraId="636016A0"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Apr-Dez</w:t>
            </w:r>
          </w:p>
        </w:tc>
        <w:tc>
          <w:tcPr>
            <w:tcW w:w="1134" w:type="dxa"/>
            <w:tcBorders>
              <w:top w:val="nil"/>
              <w:left w:val="nil"/>
              <w:bottom w:val="single" w:sz="4" w:space="0" w:color="auto"/>
              <w:right w:val="single" w:sz="4" w:space="0" w:color="auto"/>
            </w:tcBorders>
            <w:shd w:val="clear" w:color="auto" w:fill="auto"/>
            <w:noWrap/>
            <w:vAlign w:val="center"/>
            <w:hideMark/>
          </w:tcPr>
          <w:p w14:paraId="7850F15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6.563,64 € </w:t>
            </w:r>
          </w:p>
        </w:tc>
        <w:tc>
          <w:tcPr>
            <w:tcW w:w="992" w:type="dxa"/>
            <w:tcBorders>
              <w:top w:val="nil"/>
              <w:left w:val="nil"/>
              <w:bottom w:val="single" w:sz="4" w:space="0" w:color="auto"/>
              <w:right w:val="single" w:sz="4" w:space="0" w:color="auto"/>
            </w:tcBorders>
            <w:shd w:val="clear" w:color="auto" w:fill="auto"/>
            <w:noWrap/>
            <w:vAlign w:val="center"/>
            <w:hideMark/>
          </w:tcPr>
          <w:p w14:paraId="54482C3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6FD51311"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5C497241"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8B103DB"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14:paraId="09ED8CA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single" w:sz="4" w:space="0" w:color="000000"/>
              <w:right w:val="double" w:sz="6" w:space="0" w:color="auto"/>
            </w:tcBorders>
            <w:vAlign w:val="center"/>
            <w:hideMark/>
          </w:tcPr>
          <w:p w14:paraId="793A9173"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r w:rsidR="00331593" w:rsidRPr="00331593" w14:paraId="727241B4" w14:textId="77777777" w:rsidTr="00331593">
        <w:trPr>
          <w:trHeight w:val="288"/>
        </w:trPr>
        <w:tc>
          <w:tcPr>
            <w:tcW w:w="740" w:type="dxa"/>
            <w:vMerge w:val="restart"/>
            <w:tcBorders>
              <w:top w:val="nil"/>
              <w:left w:val="double" w:sz="6" w:space="0" w:color="auto"/>
              <w:bottom w:val="double" w:sz="6" w:space="0" w:color="000000"/>
              <w:right w:val="single" w:sz="4" w:space="0" w:color="auto"/>
            </w:tcBorders>
            <w:shd w:val="clear" w:color="000000" w:fill="D9D9D9"/>
            <w:noWrap/>
            <w:vAlign w:val="center"/>
            <w:hideMark/>
          </w:tcPr>
          <w:p w14:paraId="0D071636" w14:textId="77777777" w:rsidR="00331593" w:rsidRPr="00331593" w:rsidRDefault="00331593" w:rsidP="00331593">
            <w:pPr>
              <w:overflowPunct/>
              <w:autoSpaceDE/>
              <w:autoSpaceDN/>
              <w:adjustRightInd/>
              <w:jc w:val="center"/>
              <w:textAlignment w:val="auto"/>
              <w:rPr>
                <w:rFonts w:ascii="Arial" w:hAnsi="Arial" w:cs="Arial"/>
                <w:b/>
                <w:bCs/>
                <w:color w:val="000000"/>
                <w:sz w:val="16"/>
                <w:szCs w:val="16"/>
              </w:rPr>
            </w:pPr>
            <w:r w:rsidRPr="00331593">
              <w:rPr>
                <w:rFonts w:ascii="Arial" w:hAnsi="Arial" w:cs="Arial"/>
                <w:b/>
                <w:bCs/>
                <w:color w:val="000000"/>
                <w:sz w:val="16"/>
                <w:szCs w:val="16"/>
              </w:rPr>
              <w:t>2020</w:t>
            </w:r>
          </w:p>
        </w:tc>
        <w:tc>
          <w:tcPr>
            <w:tcW w:w="797" w:type="dxa"/>
            <w:tcBorders>
              <w:top w:val="nil"/>
              <w:left w:val="nil"/>
              <w:bottom w:val="nil"/>
              <w:right w:val="single" w:sz="4" w:space="0" w:color="auto"/>
            </w:tcBorders>
            <w:shd w:val="clear" w:color="auto" w:fill="auto"/>
            <w:noWrap/>
            <w:vAlign w:val="center"/>
            <w:hideMark/>
          </w:tcPr>
          <w:p w14:paraId="63EBDA66"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Jan</w:t>
            </w:r>
          </w:p>
        </w:tc>
        <w:tc>
          <w:tcPr>
            <w:tcW w:w="1134" w:type="dxa"/>
            <w:tcBorders>
              <w:top w:val="nil"/>
              <w:left w:val="nil"/>
              <w:bottom w:val="nil"/>
              <w:right w:val="single" w:sz="4" w:space="0" w:color="auto"/>
            </w:tcBorders>
            <w:shd w:val="clear" w:color="auto" w:fill="auto"/>
            <w:noWrap/>
            <w:vAlign w:val="center"/>
            <w:hideMark/>
          </w:tcPr>
          <w:p w14:paraId="6A267184"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6.563,64 € </w:t>
            </w:r>
          </w:p>
        </w:tc>
        <w:tc>
          <w:tcPr>
            <w:tcW w:w="992" w:type="dxa"/>
            <w:tcBorders>
              <w:top w:val="nil"/>
              <w:left w:val="nil"/>
              <w:bottom w:val="nil"/>
              <w:right w:val="single" w:sz="4" w:space="0" w:color="auto"/>
            </w:tcBorders>
            <w:shd w:val="clear" w:color="auto" w:fill="auto"/>
            <w:noWrap/>
            <w:vAlign w:val="center"/>
            <w:hideMark/>
          </w:tcPr>
          <w:p w14:paraId="5FDDB576"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nil"/>
              <w:right w:val="single" w:sz="4" w:space="0" w:color="auto"/>
            </w:tcBorders>
            <w:shd w:val="clear" w:color="auto" w:fill="auto"/>
            <w:noWrap/>
            <w:vAlign w:val="center"/>
            <w:hideMark/>
          </w:tcPr>
          <w:p w14:paraId="578747E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DE798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81.868,32 € </w:t>
            </w:r>
          </w:p>
        </w:tc>
        <w:tc>
          <w:tcPr>
            <w:tcW w:w="993"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0E91F9D"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900,00 € </w:t>
            </w:r>
          </w:p>
        </w:tc>
        <w:tc>
          <w:tcPr>
            <w:tcW w:w="1065" w:type="dxa"/>
            <w:tcBorders>
              <w:top w:val="nil"/>
              <w:left w:val="nil"/>
              <w:bottom w:val="nil"/>
              <w:right w:val="single" w:sz="4" w:space="0" w:color="auto"/>
            </w:tcBorders>
            <w:shd w:val="clear" w:color="auto" w:fill="auto"/>
            <w:noWrap/>
            <w:vAlign w:val="center"/>
            <w:hideMark/>
          </w:tcPr>
          <w:p w14:paraId="2A6E8F58"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val="restart"/>
            <w:tcBorders>
              <w:top w:val="nil"/>
              <w:left w:val="single" w:sz="4" w:space="0" w:color="auto"/>
              <w:bottom w:val="double" w:sz="6" w:space="0" w:color="000000"/>
              <w:right w:val="double" w:sz="6" w:space="0" w:color="auto"/>
            </w:tcBorders>
            <w:shd w:val="clear" w:color="auto" w:fill="auto"/>
            <w:noWrap/>
            <w:vAlign w:val="center"/>
            <w:hideMark/>
          </w:tcPr>
          <w:p w14:paraId="6E7DFD7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82.768,32 € </w:t>
            </w:r>
          </w:p>
        </w:tc>
      </w:tr>
      <w:tr w:rsidR="00331593" w:rsidRPr="00331593" w14:paraId="36E3E89A" w14:textId="77777777" w:rsidTr="00331593">
        <w:trPr>
          <w:trHeight w:val="300"/>
        </w:trPr>
        <w:tc>
          <w:tcPr>
            <w:tcW w:w="740" w:type="dxa"/>
            <w:vMerge/>
            <w:tcBorders>
              <w:top w:val="nil"/>
              <w:left w:val="double" w:sz="6" w:space="0" w:color="auto"/>
              <w:bottom w:val="double" w:sz="6" w:space="0" w:color="000000"/>
              <w:right w:val="single" w:sz="4" w:space="0" w:color="auto"/>
            </w:tcBorders>
            <w:vAlign w:val="center"/>
            <w:hideMark/>
          </w:tcPr>
          <w:p w14:paraId="244F977E" w14:textId="77777777" w:rsidR="00331593" w:rsidRPr="00331593" w:rsidRDefault="00331593" w:rsidP="00331593">
            <w:pPr>
              <w:overflowPunct/>
              <w:autoSpaceDE/>
              <w:autoSpaceDN/>
              <w:adjustRightInd/>
              <w:textAlignment w:val="auto"/>
              <w:rPr>
                <w:rFonts w:ascii="Arial" w:hAnsi="Arial" w:cs="Arial"/>
                <w:b/>
                <w:bCs/>
                <w:color w:val="000000"/>
                <w:sz w:val="16"/>
                <w:szCs w:val="16"/>
              </w:rPr>
            </w:pPr>
          </w:p>
        </w:tc>
        <w:tc>
          <w:tcPr>
            <w:tcW w:w="797" w:type="dxa"/>
            <w:tcBorders>
              <w:top w:val="nil"/>
              <w:left w:val="nil"/>
              <w:bottom w:val="double" w:sz="6" w:space="0" w:color="auto"/>
              <w:right w:val="single" w:sz="4" w:space="0" w:color="auto"/>
            </w:tcBorders>
            <w:shd w:val="clear" w:color="auto" w:fill="auto"/>
            <w:noWrap/>
            <w:vAlign w:val="center"/>
            <w:hideMark/>
          </w:tcPr>
          <w:p w14:paraId="1C73956B" w14:textId="77777777" w:rsidR="00331593" w:rsidRPr="00331593" w:rsidRDefault="00331593" w:rsidP="00331593">
            <w:pPr>
              <w:overflowPunct/>
              <w:autoSpaceDE/>
              <w:autoSpaceDN/>
              <w:adjustRightInd/>
              <w:jc w:val="center"/>
              <w:textAlignment w:val="auto"/>
              <w:rPr>
                <w:rFonts w:ascii="Arial" w:hAnsi="Arial" w:cs="Arial"/>
                <w:color w:val="000000"/>
                <w:sz w:val="16"/>
                <w:szCs w:val="16"/>
              </w:rPr>
            </w:pPr>
            <w:r w:rsidRPr="00331593">
              <w:rPr>
                <w:rFonts w:ascii="Arial" w:hAnsi="Arial" w:cs="Arial"/>
                <w:color w:val="000000"/>
                <w:sz w:val="16"/>
                <w:szCs w:val="16"/>
              </w:rPr>
              <w:t>Feb-Dez</w:t>
            </w:r>
          </w:p>
        </w:tc>
        <w:tc>
          <w:tcPr>
            <w:tcW w:w="1134" w:type="dxa"/>
            <w:tcBorders>
              <w:top w:val="nil"/>
              <w:left w:val="nil"/>
              <w:bottom w:val="double" w:sz="6" w:space="0" w:color="auto"/>
              <w:right w:val="single" w:sz="4" w:space="0" w:color="auto"/>
            </w:tcBorders>
            <w:shd w:val="clear" w:color="auto" w:fill="auto"/>
            <w:noWrap/>
            <w:vAlign w:val="center"/>
            <w:hideMark/>
          </w:tcPr>
          <w:p w14:paraId="1937D8C7"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xml:space="preserve"> 6.845,88 € </w:t>
            </w:r>
          </w:p>
        </w:tc>
        <w:tc>
          <w:tcPr>
            <w:tcW w:w="992" w:type="dxa"/>
            <w:tcBorders>
              <w:top w:val="nil"/>
              <w:left w:val="nil"/>
              <w:bottom w:val="double" w:sz="6" w:space="0" w:color="auto"/>
              <w:right w:val="single" w:sz="4" w:space="0" w:color="auto"/>
            </w:tcBorders>
            <w:shd w:val="clear" w:color="auto" w:fill="auto"/>
            <w:noWrap/>
            <w:vAlign w:val="center"/>
            <w:hideMark/>
          </w:tcPr>
          <w:p w14:paraId="0E8418E5"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850" w:type="dxa"/>
            <w:tcBorders>
              <w:top w:val="nil"/>
              <w:left w:val="nil"/>
              <w:bottom w:val="double" w:sz="6" w:space="0" w:color="auto"/>
              <w:right w:val="single" w:sz="4" w:space="0" w:color="auto"/>
            </w:tcBorders>
            <w:shd w:val="clear" w:color="auto" w:fill="auto"/>
            <w:noWrap/>
            <w:vAlign w:val="center"/>
            <w:hideMark/>
          </w:tcPr>
          <w:p w14:paraId="7CBBD16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double" w:sz="6" w:space="0" w:color="000000"/>
              <w:right w:val="single" w:sz="4" w:space="0" w:color="auto"/>
            </w:tcBorders>
            <w:vAlign w:val="center"/>
            <w:hideMark/>
          </w:tcPr>
          <w:p w14:paraId="4C5DF9F8"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993" w:type="dxa"/>
            <w:vMerge/>
            <w:tcBorders>
              <w:top w:val="nil"/>
              <w:left w:val="single" w:sz="4" w:space="0" w:color="auto"/>
              <w:bottom w:val="double" w:sz="6" w:space="0" w:color="000000"/>
              <w:right w:val="single" w:sz="4" w:space="0" w:color="auto"/>
            </w:tcBorders>
            <w:vAlign w:val="center"/>
            <w:hideMark/>
          </w:tcPr>
          <w:p w14:paraId="4C4B81EC"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c>
          <w:tcPr>
            <w:tcW w:w="1065" w:type="dxa"/>
            <w:tcBorders>
              <w:top w:val="nil"/>
              <w:left w:val="nil"/>
              <w:bottom w:val="double" w:sz="6" w:space="0" w:color="auto"/>
              <w:right w:val="single" w:sz="4" w:space="0" w:color="auto"/>
            </w:tcBorders>
            <w:shd w:val="clear" w:color="auto" w:fill="auto"/>
            <w:noWrap/>
            <w:vAlign w:val="center"/>
            <w:hideMark/>
          </w:tcPr>
          <w:p w14:paraId="07C42AFB" w14:textId="77777777" w:rsidR="00331593" w:rsidRPr="00331593" w:rsidRDefault="00331593" w:rsidP="00331593">
            <w:pPr>
              <w:overflowPunct/>
              <w:autoSpaceDE/>
              <w:autoSpaceDN/>
              <w:adjustRightInd/>
              <w:jc w:val="right"/>
              <w:textAlignment w:val="auto"/>
              <w:rPr>
                <w:rFonts w:ascii="Arial" w:hAnsi="Arial" w:cs="Arial"/>
                <w:color w:val="000000"/>
                <w:sz w:val="16"/>
                <w:szCs w:val="16"/>
              </w:rPr>
            </w:pPr>
            <w:r w:rsidRPr="00331593">
              <w:rPr>
                <w:rFonts w:ascii="Arial" w:hAnsi="Arial" w:cs="Arial"/>
                <w:color w:val="000000"/>
                <w:sz w:val="16"/>
                <w:szCs w:val="16"/>
              </w:rPr>
              <w:t> </w:t>
            </w:r>
          </w:p>
        </w:tc>
        <w:tc>
          <w:tcPr>
            <w:tcW w:w="1134" w:type="dxa"/>
            <w:vMerge/>
            <w:tcBorders>
              <w:top w:val="nil"/>
              <w:left w:val="single" w:sz="4" w:space="0" w:color="auto"/>
              <w:bottom w:val="double" w:sz="6" w:space="0" w:color="000000"/>
              <w:right w:val="double" w:sz="6" w:space="0" w:color="auto"/>
            </w:tcBorders>
            <w:vAlign w:val="center"/>
            <w:hideMark/>
          </w:tcPr>
          <w:p w14:paraId="0BB19669" w14:textId="77777777" w:rsidR="00331593" w:rsidRPr="00331593" w:rsidRDefault="00331593" w:rsidP="00331593">
            <w:pPr>
              <w:overflowPunct/>
              <w:autoSpaceDE/>
              <w:autoSpaceDN/>
              <w:adjustRightInd/>
              <w:textAlignment w:val="auto"/>
              <w:rPr>
                <w:rFonts w:ascii="Arial" w:hAnsi="Arial" w:cs="Arial"/>
                <w:color w:val="000000"/>
                <w:sz w:val="16"/>
                <w:szCs w:val="16"/>
              </w:rPr>
            </w:pPr>
          </w:p>
        </w:tc>
      </w:tr>
    </w:tbl>
    <w:p w14:paraId="5BAA8353" w14:textId="491F1E97" w:rsidR="001357FC" w:rsidRDefault="001357FC" w:rsidP="00E85B2D">
      <w:pPr>
        <w:overflowPunct/>
        <w:autoSpaceDE/>
        <w:autoSpaceDN/>
        <w:adjustRightInd/>
        <w:spacing w:line="276" w:lineRule="auto"/>
        <w:contextualSpacing/>
        <w:textAlignment w:val="auto"/>
        <w:rPr>
          <w:rFonts w:ascii="Arial" w:eastAsia="Calibri" w:hAnsi="Arial" w:cs="Arial"/>
          <w:sz w:val="24"/>
          <w:szCs w:val="24"/>
          <w:lang w:eastAsia="en-US"/>
        </w:rPr>
      </w:pPr>
    </w:p>
    <w:p w14:paraId="49E5651D" w14:textId="6F48AEAF" w:rsidR="00227A9E" w:rsidRDefault="00331593" w:rsidP="00E85B2D">
      <w:pPr>
        <w:overflowPunct/>
        <w:autoSpaceDE/>
        <w:autoSpaceDN/>
        <w:adjustRightInd/>
        <w:spacing w:line="276" w:lineRule="auto"/>
        <w:contextualSpacing/>
        <w:textAlignment w:val="auto"/>
        <w:rPr>
          <w:rFonts w:ascii="Arial" w:eastAsia="Calibri" w:hAnsi="Arial" w:cs="Arial"/>
          <w:sz w:val="24"/>
          <w:szCs w:val="24"/>
          <w:lang w:eastAsia="en-US"/>
        </w:rPr>
      </w:pPr>
      <w:r>
        <w:rPr>
          <w:rFonts w:ascii="Arial" w:eastAsia="Calibri" w:hAnsi="Arial" w:cs="Arial"/>
          <w:sz w:val="24"/>
          <w:szCs w:val="24"/>
          <w:lang w:eastAsia="en-US"/>
        </w:rPr>
        <w:t>Daraus ergibt sich für die Jahre 2016 folgender Besoldungsindex:</w:t>
      </w:r>
    </w:p>
    <w:p w14:paraId="6D22F1B6" w14:textId="709FC41B" w:rsidR="00331593" w:rsidRDefault="00331593" w:rsidP="00E85B2D">
      <w:pPr>
        <w:overflowPunct/>
        <w:autoSpaceDE/>
        <w:autoSpaceDN/>
        <w:adjustRightInd/>
        <w:spacing w:line="276" w:lineRule="auto"/>
        <w:ind w:left="708"/>
        <w:contextualSpacing/>
        <w:textAlignment w:val="auto"/>
        <w:rPr>
          <w:rFonts w:ascii="Arial" w:eastAsia="Calibri" w:hAnsi="Arial" w:cs="Arial"/>
          <w:sz w:val="24"/>
          <w:szCs w:val="24"/>
          <w:lang w:eastAsia="en-US"/>
        </w:rPr>
      </w:pPr>
    </w:p>
    <w:tbl>
      <w:tblPr>
        <w:tblW w:w="5130" w:type="dxa"/>
        <w:tblInd w:w="801" w:type="dxa"/>
        <w:tblCellMar>
          <w:left w:w="70" w:type="dxa"/>
          <w:right w:w="70" w:type="dxa"/>
        </w:tblCellMar>
        <w:tblLook w:val="04A0" w:firstRow="1" w:lastRow="0" w:firstColumn="1" w:lastColumn="0" w:noHBand="0" w:noVBand="1"/>
      </w:tblPr>
      <w:tblGrid>
        <w:gridCol w:w="1111"/>
        <w:gridCol w:w="1701"/>
        <w:gridCol w:w="1184"/>
        <w:gridCol w:w="1134"/>
      </w:tblGrid>
      <w:tr w:rsidR="00A112FF" w:rsidRPr="005B76E4" w14:paraId="6DAAB6AF" w14:textId="77777777" w:rsidTr="00BC2C03">
        <w:trPr>
          <w:trHeight w:val="504"/>
        </w:trPr>
        <w:tc>
          <w:tcPr>
            <w:tcW w:w="1111"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14:paraId="78C045A4"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 </w:t>
            </w:r>
          </w:p>
        </w:tc>
        <w:tc>
          <w:tcPr>
            <w:tcW w:w="1701" w:type="dxa"/>
            <w:tcBorders>
              <w:top w:val="double" w:sz="6" w:space="0" w:color="auto"/>
              <w:left w:val="nil"/>
              <w:bottom w:val="single" w:sz="8" w:space="0" w:color="auto"/>
              <w:right w:val="single" w:sz="4" w:space="0" w:color="auto"/>
            </w:tcBorders>
            <w:shd w:val="clear" w:color="auto" w:fill="auto"/>
            <w:vAlign w:val="center"/>
            <w:hideMark/>
          </w:tcPr>
          <w:p w14:paraId="033CA29D" w14:textId="77777777" w:rsidR="00A112FF" w:rsidRPr="00E85B2D" w:rsidRDefault="00A112FF" w:rsidP="005B76E4">
            <w:pPr>
              <w:overflowPunct/>
              <w:autoSpaceDE/>
              <w:autoSpaceDN/>
              <w:adjustRightInd/>
              <w:jc w:val="center"/>
              <w:textAlignment w:val="auto"/>
              <w:rPr>
                <w:rFonts w:ascii="Arial" w:hAnsi="Arial" w:cs="Arial"/>
                <w:b/>
                <w:bCs/>
                <w:color w:val="000000"/>
              </w:rPr>
            </w:pPr>
            <w:r w:rsidRPr="00E85B2D">
              <w:rPr>
                <w:rFonts w:ascii="Arial" w:hAnsi="Arial" w:cs="Arial"/>
                <w:b/>
                <w:bCs/>
                <w:color w:val="000000"/>
              </w:rPr>
              <w:t>Gesamt p.a</w:t>
            </w:r>
          </w:p>
        </w:tc>
        <w:tc>
          <w:tcPr>
            <w:tcW w:w="1184" w:type="dxa"/>
            <w:tcBorders>
              <w:top w:val="double" w:sz="6" w:space="0" w:color="auto"/>
              <w:left w:val="nil"/>
              <w:bottom w:val="single" w:sz="8" w:space="0" w:color="auto"/>
              <w:right w:val="single" w:sz="4" w:space="0" w:color="auto"/>
            </w:tcBorders>
            <w:shd w:val="clear" w:color="auto" w:fill="auto"/>
            <w:vAlign w:val="center"/>
            <w:hideMark/>
          </w:tcPr>
          <w:p w14:paraId="4837023A" w14:textId="0449743C" w:rsidR="00A112FF" w:rsidRPr="00E85B2D" w:rsidRDefault="00A112FF" w:rsidP="005B76E4">
            <w:pPr>
              <w:overflowPunct/>
              <w:autoSpaceDE/>
              <w:autoSpaceDN/>
              <w:adjustRightInd/>
              <w:jc w:val="center"/>
              <w:textAlignment w:val="auto"/>
              <w:rPr>
                <w:rFonts w:ascii="Arial" w:hAnsi="Arial" w:cs="Arial"/>
                <w:b/>
                <w:bCs/>
                <w:color w:val="000000"/>
              </w:rPr>
            </w:pPr>
            <w:r w:rsidRPr="00E85B2D">
              <w:rPr>
                <w:rFonts w:ascii="Arial" w:hAnsi="Arial" w:cs="Arial"/>
                <w:b/>
                <w:bCs/>
                <w:color w:val="000000"/>
              </w:rPr>
              <w:t>Veränd</w:t>
            </w:r>
            <w:r w:rsidR="00F14C3A">
              <w:rPr>
                <w:rFonts w:ascii="Arial" w:hAnsi="Arial" w:cs="Arial"/>
                <w:b/>
                <w:bCs/>
                <w:color w:val="000000"/>
              </w:rPr>
              <w:t>.</w:t>
            </w:r>
            <w:r w:rsidRPr="00E85B2D">
              <w:rPr>
                <w:rFonts w:ascii="Arial" w:hAnsi="Arial" w:cs="Arial"/>
                <w:b/>
                <w:bCs/>
                <w:color w:val="000000"/>
              </w:rPr>
              <w:t xml:space="preserve"> in %</w:t>
            </w:r>
          </w:p>
        </w:tc>
        <w:tc>
          <w:tcPr>
            <w:tcW w:w="1134" w:type="dxa"/>
            <w:tcBorders>
              <w:top w:val="double" w:sz="6" w:space="0" w:color="auto"/>
              <w:left w:val="nil"/>
              <w:bottom w:val="single" w:sz="8" w:space="0" w:color="auto"/>
              <w:right w:val="single" w:sz="4" w:space="0" w:color="auto"/>
            </w:tcBorders>
            <w:shd w:val="clear" w:color="auto" w:fill="auto"/>
            <w:vAlign w:val="center"/>
            <w:hideMark/>
          </w:tcPr>
          <w:p w14:paraId="015D56D3" w14:textId="77777777" w:rsidR="00A112FF" w:rsidRPr="00E85B2D" w:rsidRDefault="00A112FF" w:rsidP="005B76E4">
            <w:pPr>
              <w:overflowPunct/>
              <w:autoSpaceDE/>
              <w:autoSpaceDN/>
              <w:adjustRightInd/>
              <w:jc w:val="center"/>
              <w:textAlignment w:val="auto"/>
              <w:rPr>
                <w:rFonts w:ascii="Arial" w:hAnsi="Arial" w:cs="Arial"/>
                <w:b/>
                <w:bCs/>
                <w:color w:val="000000"/>
              </w:rPr>
            </w:pPr>
            <w:r w:rsidRPr="00E85B2D">
              <w:rPr>
                <w:rFonts w:ascii="Arial" w:hAnsi="Arial" w:cs="Arial"/>
                <w:b/>
                <w:bCs/>
                <w:color w:val="000000"/>
              </w:rPr>
              <w:t>2016</w:t>
            </w:r>
          </w:p>
        </w:tc>
      </w:tr>
      <w:tr w:rsidR="00A112FF" w:rsidRPr="005B76E4" w14:paraId="02B94E02"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492F439F"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2001</w:t>
            </w:r>
          </w:p>
        </w:tc>
        <w:tc>
          <w:tcPr>
            <w:tcW w:w="1701" w:type="dxa"/>
            <w:tcBorders>
              <w:top w:val="nil"/>
              <w:left w:val="nil"/>
              <w:bottom w:val="nil"/>
              <w:right w:val="single" w:sz="4" w:space="0" w:color="auto"/>
            </w:tcBorders>
            <w:shd w:val="clear" w:color="auto" w:fill="auto"/>
            <w:noWrap/>
            <w:vAlign w:val="bottom"/>
            <w:hideMark/>
          </w:tcPr>
          <w:p w14:paraId="354201E8"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62.355,38 € </w:t>
            </w:r>
          </w:p>
        </w:tc>
        <w:tc>
          <w:tcPr>
            <w:tcW w:w="1184" w:type="dxa"/>
            <w:tcBorders>
              <w:top w:val="nil"/>
              <w:left w:val="nil"/>
              <w:bottom w:val="nil"/>
              <w:right w:val="single" w:sz="4" w:space="0" w:color="auto"/>
            </w:tcBorders>
            <w:shd w:val="clear" w:color="auto" w:fill="auto"/>
            <w:noWrap/>
            <w:vAlign w:val="bottom"/>
            <w:hideMark/>
          </w:tcPr>
          <w:p w14:paraId="404FDE4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3,74</w:t>
            </w:r>
          </w:p>
        </w:tc>
        <w:tc>
          <w:tcPr>
            <w:tcW w:w="1134" w:type="dxa"/>
            <w:tcBorders>
              <w:top w:val="nil"/>
              <w:left w:val="nil"/>
              <w:bottom w:val="nil"/>
              <w:right w:val="single" w:sz="4" w:space="0" w:color="auto"/>
            </w:tcBorders>
            <w:shd w:val="clear" w:color="auto" w:fill="auto"/>
            <w:noWrap/>
            <w:vAlign w:val="bottom"/>
            <w:hideMark/>
          </w:tcPr>
          <w:p w14:paraId="530EF7B9" w14:textId="5750EB64"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100</w:t>
            </w:r>
            <w:r w:rsidR="00F14C3A">
              <w:rPr>
                <w:rFonts w:ascii="Arial" w:hAnsi="Arial" w:cs="Arial"/>
                <w:color w:val="000000"/>
              </w:rPr>
              <w:t>,00</w:t>
            </w:r>
          </w:p>
        </w:tc>
      </w:tr>
      <w:tr w:rsidR="00A112FF" w:rsidRPr="005B76E4" w14:paraId="14A816EC"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19F24259"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2002</w:t>
            </w:r>
          </w:p>
        </w:tc>
        <w:tc>
          <w:tcPr>
            <w:tcW w:w="1701" w:type="dxa"/>
            <w:tcBorders>
              <w:top w:val="nil"/>
              <w:left w:val="nil"/>
              <w:bottom w:val="nil"/>
              <w:right w:val="single" w:sz="4" w:space="0" w:color="auto"/>
            </w:tcBorders>
            <w:shd w:val="clear" w:color="auto" w:fill="auto"/>
            <w:noWrap/>
            <w:vAlign w:val="bottom"/>
            <w:hideMark/>
          </w:tcPr>
          <w:p w14:paraId="7DE81CD5"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62.355,38 € </w:t>
            </w:r>
          </w:p>
        </w:tc>
        <w:tc>
          <w:tcPr>
            <w:tcW w:w="1184" w:type="dxa"/>
            <w:tcBorders>
              <w:top w:val="nil"/>
              <w:left w:val="nil"/>
              <w:bottom w:val="nil"/>
              <w:right w:val="single" w:sz="4" w:space="0" w:color="auto"/>
            </w:tcBorders>
            <w:shd w:val="clear" w:color="auto" w:fill="auto"/>
            <w:noWrap/>
            <w:vAlign w:val="bottom"/>
            <w:hideMark/>
          </w:tcPr>
          <w:p w14:paraId="4CA719AE"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0,00</w:t>
            </w:r>
          </w:p>
        </w:tc>
        <w:tc>
          <w:tcPr>
            <w:tcW w:w="1134" w:type="dxa"/>
            <w:tcBorders>
              <w:top w:val="nil"/>
              <w:left w:val="nil"/>
              <w:bottom w:val="nil"/>
              <w:right w:val="single" w:sz="4" w:space="0" w:color="auto"/>
            </w:tcBorders>
            <w:shd w:val="clear" w:color="auto" w:fill="auto"/>
            <w:noWrap/>
            <w:vAlign w:val="bottom"/>
            <w:hideMark/>
          </w:tcPr>
          <w:p w14:paraId="4190FD4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100,00</w:t>
            </w:r>
          </w:p>
        </w:tc>
      </w:tr>
      <w:tr w:rsidR="00A112FF" w:rsidRPr="005B76E4" w14:paraId="4C0827AE"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0F8411D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2003</w:t>
            </w:r>
          </w:p>
        </w:tc>
        <w:tc>
          <w:tcPr>
            <w:tcW w:w="1701" w:type="dxa"/>
            <w:tcBorders>
              <w:top w:val="nil"/>
              <w:left w:val="nil"/>
              <w:bottom w:val="nil"/>
              <w:right w:val="single" w:sz="4" w:space="0" w:color="auto"/>
            </w:tcBorders>
            <w:shd w:val="clear" w:color="auto" w:fill="auto"/>
            <w:noWrap/>
            <w:vAlign w:val="bottom"/>
            <w:hideMark/>
          </w:tcPr>
          <w:p w14:paraId="58ACF7C3"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59.871,84 € </w:t>
            </w:r>
          </w:p>
        </w:tc>
        <w:tc>
          <w:tcPr>
            <w:tcW w:w="1184" w:type="dxa"/>
            <w:tcBorders>
              <w:top w:val="nil"/>
              <w:left w:val="nil"/>
              <w:bottom w:val="nil"/>
              <w:right w:val="single" w:sz="4" w:space="0" w:color="auto"/>
            </w:tcBorders>
            <w:shd w:val="clear" w:color="auto" w:fill="auto"/>
            <w:noWrap/>
            <w:vAlign w:val="bottom"/>
            <w:hideMark/>
          </w:tcPr>
          <w:p w14:paraId="7EA9D67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-3,98</w:t>
            </w:r>
          </w:p>
        </w:tc>
        <w:tc>
          <w:tcPr>
            <w:tcW w:w="1134" w:type="dxa"/>
            <w:tcBorders>
              <w:top w:val="nil"/>
              <w:left w:val="nil"/>
              <w:bottom w:val="nil"/>
              <w:right w:val="single" w:sz="4" w:space="0" w:color="auto"/>
            </w:tcBorders>
            <w:shd w:val="clear" w:color="auto" w:fill="auto"/>
            <w:noWrap/>
            <w:vAlign w:val="bottom"/>
            <w:hideMark/>
          </w:tcPr>
          <w:p w14:paraId="5494AEC0"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96,02</w:t>
            </w:r>
          </w:p>
        </w:tc>
      </w:tr>
      <w:tr w:rsidR="00A112FF" w:rsidRPr="005B76E4" w14:paraId="15AD5A49"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6FE7099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2004</w:t>
            </w:r>
          </w:p>
        </w:tc>
        <w:tc>
          <w:tcPr>
            <w:tcW w:w="1701" w:type="dxa"/>
            <w:tcBorders>
              <w:top w:val="nil"/>
              <w:left w:val="nil"/>
              <w:bottom w:val="nil"/>
              <w:right w:val="single" w:sz="4" w:space="0" w:color="auto"/>
            </w:tcBorders>
            <w:shd w:val="clear" w:color="auto" w:fill="auto"/>
            <w:noWrap/>
            <w:vAlign w:val="bottom"/>
            <w:hideMark/>
          </w:tcPr>
          <w:p w14:paraId="0D67B55C"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60.658,41 € </w:t>
            </w:r>
          </w:p>
        </w:tc>
        <w:tc>
          <w:tcPr>
            <w:tcW w:w="1184" w:type="dxa"/>
            <w:tcBorders>
              <w:top w:val="nil"/>
              <w:left w:val="nil"/>
              <w:bottom w:val="nil"/>
              <w:right w:val="single" w:sz="4" w:space="0" w:color="auto"/>
            </w:tcBorders>
            <w:shd w:val="clear" w:color="auto" w:fill="auto"/>
            <w:noWrap/>
            <w:vAlign w:val="bottom"/>
            <w:hideMark/>
          </w:tcPr>
          <w:p w14:paraId="5EA53342"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1,31</w:t>
            </w:r>
          </w:p>
        </w:tc>
        <w:tc>
          <w:tcPr>
            <w:tcW w:w="1134" w:type="dxa"/>
            <w:tcBorders>
              <w:top w:val="nil"/>
              <w:left w:val="nil"/>
              <w:bottom w:val="nil"/>
              <w:right w:val="single" w:sz="4" w:space="0" w:color="auto"/>
            </w:tcBorders>
            <w:shd w:val="clear" w:color="auto" w:fill="auto"/>
            <w:noWrap/>
            <w:vAlign w:val="bottom"/>
            <w:hideMark/>
          </w:tcPr>
          <w:p w14:paraId="02AC4498"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97,28</w:t>
            </w:r>
          </w:p>
        </w:tc>
      </w:tr>
      <w:tr w:rsidR="00A112FF" w:rsidRPr="005B76E4" w14:paraId="404BA55B"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366D5E50"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2005</w:t>
            </w:r>
          </w:p>
        </w:tc>
        <w:tc>
          <w:tcPr>
            <w:tcW w:w="1701" w:type="dxa"/>
            <w:tcBorders>
              <w:top w:val="nil"/>
              <w:left w:val="nil"/>
              <w:bottom w:val="nil"/>
              <w:right w:val="single" w:sz="4" w:space="0" w:color="auto"/>
            </w:tcBorders>
            <w:shd w:val="clear" w:color="auto" w:fill="auto"/>
            <w:noWrap/>
            <w:vAlign w:val="bottom"/>
            <w:hideMark/>
          </w:tcPr>
          <w:p w14:paraId="1CC7FAF5"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61.156,24 € </w:t>
            </w:r>
          </w:p>
        </w:tc>
        <w:tc>
          <w:tcPr>
            <w:tcW w:w="1184" w:type="dxa"/>
            <w:tcBorders>
              <w:top w:val="nil"/>
              <w:left w:val="nil"/>
              <w:bottom w:val="nil"/>
              <w:right w:val="single" w:sz="4" w:space="0" w:color="auto"/>
            </w:tcBorders>
            <w:shd w:val="clear" w:color="auto" w:fill="auto"/>
            <w:noWrap/>
            <w:vAlign w:val="bottom"/>
            <w:hideMark/>
          </w:tcPr>
          <w:p w14:paraId="3EF33EF4"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0,82</w:t>
            </w:r>
          </w:p>
        </w:tc>
        <w:tc>
          <w:tcPr>
            <w:tcW w:w="1134" w:type="dxa"/>
            <w:tcBorders>
              <w:top w:val="nil"/>
              <w:left w:val="nil"/>
              <w:bottom w:val="nil"/>
              <w:right w:val="single" w:sz="4" w:space="0" w:color="auto"/>
            </w:tcBorders>
            <w:shd w:val="clear" w:color="auto" w:fill="auto"/>
            <w:noWrap/>
            <w:vAlign w:val="bottom"/>
            <w:hideMark/>
          </w:tcPr>
          <w:p w14:paraId="14C2E817"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98,08</w:t>
            </w:r>
          </w:p>
        </w:tc>
      </w:tr>
      <w:tr w:rsidR="00A112FF" w:rsidRPr="005B76E4" w14:paraId="0E03BF22"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3113631C"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2006</w:t>
            </w:r>
          </w:p>
        </w:tc>
        <w:tc>
          <w:tcPr>
            <w:tcW w:w="1701" w:type="dxa"/>
            <w:tcBorders>
              <w:top w:val="nil"/>
              <w:left w:val="nil"/>
              <w:bottom w:val="nil"/>
              <w:right w:val="single" w:sz="4" w:space="0" w:color="auto"/>
            </w:tcBorders>
            <w:shd w:val="clear" w:color="auto" w:fill="auto"/>
            <w:noWrap/>
            <w:vAlign w:val="bottom"/>
            <w:hideMark/>
          </w:tcPr>
          <w:p w14:paraId="4FCDF4D9"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61.156,24 € </w:t>
            </w:r>
          </w:p>
        </w:tc>
        <w:tc>
          <w:tcPr>
            <w:tcW w:w="1184" w:type="dxa"/>
            <w:tcBorders>
              <w:top w:val="nil"/>
              <w:left w:val="nil"/>
              <w:bottom w:val="nil"/>
              <w:right w:val="single" w:sz="4" w:space="0" w:color="auto"/>
            </w:tcBorders>
            <w:shd w:val="clear" w:color="auto" w:fill="auto"/>
            <w:noWrap/>
            <w:vAlign w:val="bottom"/>
            <w:hideMark/>
          </w:tcPr>
          <w:p w14:paraId="2B371435"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0,00</w:t>
            </w:r>
          </w:p>
        </w:tc>
        <w:tc>
          <w:tcPr>
            <w:tcW w:w="1134" w:type="dxa"/>
            <w:tcBorders>
              <w:top w:val="nil"/>
              <w:left w:val="nil"/>
              <w:bottom w:val="nil"/>
              <w:right w:val="single" w:sz="4" w:space="0" w:color="auto"/>
            </w:tcBorders>
            <w:shd w:val="clear" w:color="auto" w:fill="auto"/>
            <w:noWrap/>
            <w:vAlign w:val="bottom"/>
            <w:hideMark/>
          </w:tcPr>
          <w:p w14:paraId="7B0EF3E4"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98,08</w:t>
            </w:r>
          </w:p>
        </w:tc>
      </w:tr>
      <w:tr w:rsidR="00A112FF" w:rsidRPr="005B76E4" w14:paraId="73751BFB"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40C834AC"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2007</w:t>
            </w:r>
          </w:p>
        </w:tc>
        <w:tc>
          <w:tcPr>
            <w:tcW w:w="1701" w:type="dxa"/>
            <w:tcBorders>
              <w:top w:val="nil"/>
              <w:left w:val="nil"/>
              <w:bottom w:val="nil"/>
              <w:right w:val="single" w:sz="4" w:space="0" w:color="auto"/>
            </w:tcBorders>
            <w:shd w:val="clear" w:color="auto" w:fill="auto"/>
            <w:noWrap/>
            <w:vAlign w:val="bottom"/>
            <w:hideMark/>
          </w:tcPr>
          <w:p w14:paraId="5B998299"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61.156,24 € </w:t>
            </w:r>
          </w:p>
        </w:tc>
        <w:tc>
          <w:tcPr>
            <w:tcW w:w="1184" w:type="dxa"/>
            <w:tcBorders>
              <w:top w:val="nil"/>
              <w:left w:val="nil"/>
              <w:bottom w:val="nil"/>
              <w:right w:val="single" w:sz="4" w:space="0" w:color="auto"/>
            </w:tcBorders>
            <w:shd w:val="clear" w:color="auto" w:fill="auto"/>
            <w:noWrap/>
            <w:vAlign w:val="bottom"/>
            <w:hideMark/>
          </w:tcPr>
          <w:p w14:paraId="2B3418CD"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0,00</w:t>
            </w:r>
          </w:p>
        </w:tc>
        <w:tc>
          <w:tcPr>
            <w:tcW w:w="1134" w:type="dxa"/>
            <w:tcBorders>
              <w:top w:val="nil"/>
              <w:left w:val="nil"/>
              <w:bottom w:val="nil"/>
              <w:right w:val="single" w:sz="4" w:space="0" w:color="auto"/>
            </w:tcBorders>
            <w:shd w:val="clear" w:color="auto" w:fill="auto"/>
            <w:noWrap/>
            <w:vAlign w:val="bottom"/>
            <w:hideMark/>
          </w:tcPr>
          <w:p w14:paraId="08A8358F"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98,08</w:t>
            </w:r>
          </w:p>
        </w:tc>
      </w:tr>
      <w:tr w:rsidR="00A112FF" w:rsidRPr="005B76E4" w14:paraId="16E02039"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6EBF5F45"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2008</w:t>
            </w:r>
          </w:p>
        </w:tc>
        <w:tc>
          <w:tcPr>
            <w:tcW w:w="1701" w:type="dxa"/>
            <w:tcBorders>
              <w:top w:val="nil"/>
              <w:left w:val="nil"/>
              <w:bottom w:val="nil"/>
              <w:right w:val="single" w:sz="4" w:space="0" w:color="auto"/>
            </w:tcBorders>
            <w:shd w:val="clear" w:color="auto" w:fill="auto"/>
            <w:noWrap/>
            <w:vAlign w:val="bottom"/>
            <w:hideMark/>
          </w:tcPr>
          <w:p w14:paraId="3EB6DA45"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61.456,24 € </w:t>
            </w:r>
          </w:p>
        </w:tc>
        <w:tc>
          <w:tcPr>
            <w:tcW w:w="1184" w:type="dxa"/>
            <w:tcBorders>
              <w:top w:val="nil"/>
              <w:left w:val="nil"/>
              <w:bottom w:val="nil"/>
              <w:right w:val="single" w:sz="4" w:space="0" w:color="auto"/>
            </w:tcBorders>
            <w:shd w:val="clear" w:color="auto" w:fill="auto"/>
            <w:noWrap/>
            <w:vAlign w:val="bottom"/>
            <w:hideMark/>
          </w:tcPr>
          <w:p w14:paraId="07E05AD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0,49</w:t>
            </w:r>
          </w:p>
        </w:tc>
        <w:tc>
          <w:tcPr>
            <w:tcW w:w="1134" w:type="dxa"/>
            <w:tcBorders>
              <w:top w:val="nil"/>
              <w:left w:val="nil"/>
              <w:bottom w:val="nil"/>
              <w:right w:val="single" w:sz="4" w:space="0" w:color="auto"/>
            </w:tcBorders>
            <w:shd w:val="clear" w:color="auto" w:fill="auto"/>
            <w:noWrap/>
            <w:vAlign w:val="bottom"/>
            <w:hideMark/>
          </w:tcPr>
          <w:p w14:paraId="4508BDEC"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98,56</w:t>
            </w:r>
          </w:p>
        </w:tc>
      </w:tr>
      <w:tr w:rsidR="00A112FF" w:rsidRPr="005B76E4" w14:paraId="58D7894D"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2F40EEBE"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2009</w:t>
            </w:r>
          </w:p>
        </w:tc>
        <w:tc>
          <w:tcPr>
            <w:tcW w:w="1701" w:type="dxa"/>
            <w:tcBorders>
              <w:top w:val="nil"/>
              <w:left w:val="nil"/>
              <w:bottom w:val="nil"/>
              <w:right w:val="single" w:sz="4" w:space="0" w:color="auto"/>
            </w:tcBorders>
            <w:shd w:val="clear" w:color="auto" w:fill="auto"/>
            <w:noWrap/>
            <w:vAlign w:val="bottom"/>
            <w:hideMark/>
          </w:tcPr>
          <w:p w14:paraId="6913C62A"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61.456,24 € </w:t>
            </w:r>
          </w:p>
        </w:tc>
        <w:tc>
          <w:tcPr>
            <w:tcW w:w="1184" w:type="dxa"/>
            <w:tcBorders>
              <w:top w:val="nil"/>
              <w:left w:val="nil"/>
              <w:bottom w:val="nil"/>
              <w:right w:val="single" w:sz="4" w:space="0" w:color="auto"/>
            </w:tcBorders>
            <w:shd w:val="clear" w:color="auto" w:fill="auto"/>
            <w:noWrap/>
            <w:vAlign w:val="bottom"/>
            <w:hideMark/>
          </w:tcPr>
          <w:p w14:paraId="36A61C9D"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0,00</w:t>
            </w:r>
          </w:p>
        </w:tc>
        <w:tc>
          <w:tcPr>
            <w:tcW w:w="1134" w:type="dxa"/>
            <w:tcBorders>
              <w:top w:val="nil"/>
              <w:left w:val="nil"/>
              <w:bottom w:val="nil"/>
              <w:right w:val="single" w:sz="4" w:space="0" w:color="auto"/>
            </w:tcBorders>
            <w:shd w:val="clear" w:color="auto" w:fill="auto"/>
            <w:noWrap/>
            <w:vAlign w:val="bottom"/>
            <w:hideMark/>
          </w:tcPr>
          <w:p w14:paraId="1DA48755"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98,56</w:t>
            </w:r>
          </w:p>
        </w:tc>
      </w:tr>
      <w:tr w:rsidR="00A112FF" w:rsidRPr="005B76E4" w14:paraId="37750C34"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5FBB3EB0"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2010</w:t>
            </w:r>
          </w:p>
        </w:tc>
        <w:tc>
          <w:tcPr>
            <w:tcW w:w="1701" w:type="dxa"/>
            <w:tcBorders>
              <w:top w:val="nil"/>
              <w:left w:val="nil"/>
              <w:bottom w:val="nil"/>
              <w:right w:val="single" w:sz="4" w:space="0" w:color="auto"/>
            </w:tcBorders>
            <w:shd w:val="clear" w:color="auto" w:fill="auto"/>
            <w:noWrap/>
            <w:vAlign w:val="bottom"/>
            <w:hideMark/>
          </w:tcPr>
          <w:p w14:paraId="2D60DF79"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61.534,49 € </w:t>
            </w:r>
          </w:p>
        </w:tc>
        <w:tc>
          <w:tcPr>
            <w:tcW w:w="1184" w:type="dxa"/>
            <w:tcBorders>
              <w:top w:val="nil"/>
              <w:left w:val="nil"/>
              <w:bottom w:val="nil"/>
              <w:right w:val="single" w:sz="4" w:space="0" w:color="auto"/>
            </w:tcBorders>
            <w:shd w:val="clear" w:color="auto" w:fill="auto"/>
            <w:noWrap/>
            <w:vAlign w:val="bottom"/>
            <w:hideMark/>
          </w:tcPr>
          <w:p w14:paraId="7869F042"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0,13</w:t>
            </w:r>
          </w:p>
        </w:tc>
        <w:tc>
          <w:tcPr>
            <w:tcW w:w="1134" w:type="dxa"/>
            <w:tcBorders>
              <w:top w:val="nil"/>
              <w:left w:val="nil"/>
              <w:bottom w:val="nil"/>
              <w:right w:val="single" w:sz="4" w:space="0" w:color="auto"/>
            </w:tcBorders>
            <w:shd w:val="clear" w:color="auto" w:fill="auto"/>
            <w:noWrap/>
            <w:vAlign w:val="bottom"/>
            <w:hideMark/>
          </w:tcPr>
          <w:p w14:paraId="133302E0"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98,68</w:t>
            </w:r>
          </w:p>
        </w:tc>
      </w:tr>
      <w:tr w:rsidR="00A112FF" w:rsidRPr="005B76E4" w14:paraId="388605F0"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2061FD0F"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2011</w:t>
            </w:r>
          </w:p>
        </w:tc>
        <w:tc>
          <w:tcPr>
            <w:tcW w:w="1701" w:type="dxa"/>
            <w:tcBorders>
              <w:top w:val="nil"/>
              <w:left w:val="nil"/>
              <w:bottom w:val="nil"/>
              <w:right w:val="single" w:sz="4" w:space="0" w:color="auto"/>
            </w:tcBorders>
            <w:shd w:val="clear" w:color="auto" w:fill="auto"/>
            <w:noWrap/>
            <w:vAlign w:val="bottom"/>
            <w:hideMark/>
          </w:tcPr>
          <w:p w14:paraId="6A35FDF1"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62.660,69 € </w:t>
            </w:r>
          </w:p>
        </w:tc>
        <w:tc>
          <w:tcPr>
            <w:tcW w:w="1184" w:type="dxa"/>
            <w:tcBorders>
              <w:top w:val="nil"/>
              <w:left w:val="nil"/>
              <w:bottom w:val="nil"/>
              <w:right w:val="single" w:sz="4" w:space="0" w:color="auto"/>
            </w:tcBorders>
            <w:shd w:val="clear" w:color="auto" w:fill="auto"/>
            <w:noWrap/>
            <w:vAlign w:val="bottom"/>
            <w:hideMark/>
          </w:tcPr>
          <w:p w14:paraId="345BEA0E"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1,83</w:t>
            </w:r>
          </w:p>
        </w:tc>
        <w:tc>
          <w:tcPr>
            <w:tcW w:w="1134" w:type="dxa"/>
            <w:tcBorders>
              <w:top w:val="nil"/>
              <w:left w:val="nil"/>
              <w:bottom w:val="nil"/>
              <w:right w:val="single" w:sz="4" w:space="0" w:color="auto"/>
            </w:tcBorders>
            <w:shd w:val="clear" w:color="auto" w:fill="auto"/>
            <w:noWrap/>
            <w:vAlign w:val="bottom"/>
            <w:hideMark/>
          </w:tcPr>
          <w:p w14:paraId="452EFD5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100,49</w:t>
            </w:r>
          </w:p>
        </w:tc>
      </w:tr>
      <w:tr w:rsidR="00A112FF" w:rsidRPr="005B76E4" w14:paraId="6F5BCAD0"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089E94B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2012</w:t>
            </w:r>
          </w:p>
        </w:tc>
        <w:tc>
          <w:tcPr>
            <w:tcW w:w="1701" w:type="dxa"/>
            <w:tcBorders>
              <w:top w:val="nil"/>
              <w:left w:val="nil"/>
              <w:bottom w:val="nil"/>
              <w:right w:val="single" w:sz="4" w:space="0" w:color="auto"/>
            </w:tcBorders>
            <w:shd w:val="clear" w:color="auto" w:fill="auto"/>
            <w:noWrap/>
            <w:vAlign w:val="bottom"/>
            <w:hideMark/>
          </w:tcPr>
          <w:p w14:paraId="46BB0F3C"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64.019,80 € </w:t>
            </w:r>
          </w:p>
        </w:tc>
        <w:tc>
          <w:tcPr>
            <w:tcW w:w="1184" w:type="dxa"/>
            <w:tcBorders>
              <w:top w:val="nil"/>
              <w:left w:val="nil"/>
              <w:bottom w:val="nil"/>
              <w:right w:val="single" w:sz="4" w:space="0" w:color="auto"/>
            </w:tcBorders>
            <w:shd w:val="clear" w:color="auto" w:fill="auto"/>
            <w:noWrap/>
            <w:vAlign w:val="bottom"/>
            <w:hideMark/>
          </w:tcPr>
          <w:p w14:paraId="11444ED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2,17</w:t>
            </w:r>
          </w:p>
        </w:tc>
        <w:tc>
          <w:tcPr>
            <w:tcW w:w="1134" w:type="dxa"/>
            <w:tcBorders>
              <w:top w:val="nil"/>
              <w:left w:val="nil"/>
              <w:bottom w:val="nil"/>
              <w:right w:val="single" w:sz="4" w:space="0" w:color="auto"/>
            </w:tcBorders>
            <w:shd w:val="clear" w:color="auto" w:fill="auto"/>
            <w:noWrap/>
            <w:vAlign w:val="bottom"/>
            <w:hideMark/>
          </w:tcPr>
          <w:p w14:paraId="049119A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102,67</w:t>
            </w:r>
          </w:p>
        </w:tc>
      </w:tr>
      <w:tr w:rsidR="00A112FF" w:rsidRPr="005B76E4" w14:paraId="17F16671"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2F806D8C"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2013</w:t>
            </w:r>
          </w:p>
        </w:tc>
        <w:tc>
          <w:tcPr>
            <w:tcW w:w="1701" w:type="dxa"/>
            <w:tcBorders>
              <w:top w:val="nil"/>
              <w:left w:val="nil"/>
              <w:bottom w:val="nil"/>
              <w:right w:val="single" w:sz="4" w:space="0" w:color="auto"/>
            </w:tcBorders>
            <w:shd w:val="clear" w:color="auto" w:fill="auto"/>
            <w:noWrap/>
            <w:vAlign w:val="bottom"/>
            <w:hideMark/>
          </w:tcPr>
          <w:p w14:paraId="6CF7618F"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65.287,42 € </w:t>
            </w:r>
          </w:p>
        </w:tc>
        <w:tc>
          <w:tcPr>
            <w:tcW w:w="1184" w:type="dxa"/>
            <w:tcBorders>
              <w:top w:val="nil"/>
              <w:left w:val="nil"/>
              <w:bottom w:val="nil"/>
              <w:right w:val="single" w:sz="4" w:space="0" w:color="auto"/>
            </w:tcBorders>
            <w:shd w:val="clear" w:color="auto" w:fill="auto"/>
            <w:noWrap/>
            <w:vAlign w:val="bottom"/>
            <w:hideMark/>
          </w:tcPr>
          <w:p w14:paraId="696692A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1,98</w:t>
            </w:r>
          </w:p>
        </w:tc>
        <w:tc>
          <w:tcPr>
            <w:tcW w:w="1134" w:type="dxa"/>
            <w:tcBorders>
              <w:top w:val="nil"/>
              <w:left w:val="nil"/>
              <w:bottom w:val="nil"/>
              <w:right w:val="single" w:sz="4" w:space="0" w:color="auto"/>
            </w:tcBorders>
            <w:shd w:val="clear" w:color="auto" w:fill="auto"/>
            <w:noWrap/>
            <w:vAlign w:val="bottom"/>
            <w:hideMark/>
          </w:tcPr>
          <w:p w14:paraId="1F14D322"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104,70</w:t>
            </w:r>
          </w:p>
        </w:tc>
      </w:tr>
      <w:tr w:rsidR="00A112FF" w:rsidRPr="005B76E4" w14:paraId="487C0AA5" w14:textId="77777777" w:rsidTr="00BC2C03">
        <w:trPr>
          <w:trHeight w:val="288"/>
        </w:trPr>
        <w:tc>
          <w:tcPr>
            <w:tcW w:w="1111" w:type="dxa"/>
            <w:tcBorders>
              <w:top w:val="nil"/>
              <w:left w:val="double" w:sz="6" w:space="0" w:color="auto"/>
              <w:bottom w:val="nil"/>
              <w:right w:val="single" w:sz="4" w:space="0" w:color="auto"/>
            </w:tcBorders>
            <w:shd w:val="clear" w:color="000000" w:fill="BFBFBF"/>
            <w:noWrap/>
            <w:vAlign w:val="bottom"/>
            <w:hideMark/>
          </w:tcPr>
          <w:p w14:paraId="22F3AEF5"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2014</w:t>
            </w:r>
          </w:p>
        </w:tc>
        <w:tc>
          <w:tcPr>
            <w:tcW w:w="1701" w:type="dxa"/>
            <w:tcBorders>
              <w:top w:val="nil"/>
              <w:left w:val="nil"/>
              <w:bottom w:val="nil"/>
              <w:right w:val="single" w:sz="4" w:space="0" w:color="auto"/>
            </w:tcBorders>
            <w:shd w:val="clear" w:color="auto" w:fill="auto"/>
            <w:noWrap/>
            <w:vAlign w:val="bottom"/>
            <w:hideMark/>
          </w:tcPr>
          <w:p w14:paraId="798B9F6D"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66.852,89 € </w:t>
            </w:r>
          </w:p>
        </w:tc>
        <w:tc>
          <w:tcPr>
            <w:tcW w:w="1184" w:type="dxa"/>
            <w:tcBorders>
              <w:top w:val="nil"/>
              <w:left w:val="nil"/>
              <w:bottom w:val="nil"/>
              <w:right w:val="single" w:sz="4" w:space="0" w:color="auto"/>
            </w:tcBorders>
            <w:shd w:val="clear" w:color="auto" w:fill="auto"/>
            <w:noWrap/>
            <w:vAlign w:val="bottom"/>
            <w:hideMark/>
          </w:tcPr>
          <w:p w14:paraId="7C70222A"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2,40</w:t>
            </w:r>
          </w:p>
        </w:tc>
        <w:tc>
          <w:tcPr>
            <w:tcW w:w="1134" w:type="dxa"/>
            <w:tcBorders>
              <w:top w:val="nil"/>
              <w:left w:val="nil"/>
              <w:bottom w:val="nil"/>
              <w:right w:val="single" w:sz="4" w:space="0" w:color="auto"/>
            </w:tcBorders>
            <w:shd w:val="clear" w:color="auto" w:fill="auto"/>
            <w:noWrap/>
            <w:vAlign w:val="bottom"/>
            <w:hideMark/>
          </w:tcPr>
          <w:p w14:paraId="74DB91FA"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107,21</w:t>
            </w:r>
          </w:p>
        </w:tc>
      </w:tr>
      <w:tr w:rsidR="00A112FF" w:rsidRPr="005B76E4" w14:paraId="236BB680" w14:textId="77777777" w:rsidTr="00BC2C03">
        <w:trPr>
          <w:trHeight w:val="288"/>
        </w:trPr>
        <w:tc>
          <w:tcPr>
            <w:tcW w:w="1111" w:type="dxa"/>
            <w:tcBorders>
              <w:top w:val="nil"/>
              <w:left w:val="double" w:sz="6" w:space="0" w:color="auto"/>
              <w:right w:val="single" w:sz="4" w:space="0" w:color="auto"/>
            </w:tcBorders>
            <w:shd w:val="clear" w:color="000000" w:fill="BFBFBF"/>
            <w:noWrap/>
            <w:vAlign w:val="bottom"/>
            <w:hideMark/>
          </w:tcPr>
          <w:p w14:paraId="59B13F08"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lastRenderedPageBreak/>
              <w:t>2015</w:t>
            </w:r>
          </w:p>
        </w:tc>
        <w:tc>
          <w:tcPr>
            <w:tcW w:w="1701" w:type="dxa"/>
            <w:tcBorders>
              <w:top w:val="nil"/>
              <w:left w:val="nil"/>
              <w:right w:val="single" w:sz="4" w:space="0" w:color="auto"/>
            </w:tcBorders>
            <w:shd w:val="clear" w:color="auto" w:fill="auto"/>
            <w:noWrap/>
            <w:vAlign w:val="bottom"/>
            <w:hideMark/>
          </w:tcPr>
          <w:p w14:paraId="7FCC0B64"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68.839,27 € </w:t>
            </w:r>
          </w:p>
        </w:tc>
        <w:tc>
          <w:tcPr>
            <w:tcW w:w="1184" w:type="dxa"/>
            <w:tcBorders>
              <w:top w:val="nil"/>
              <w:left w:val="nil"/>
              <w:right w:val="single" w:sz="4" w:space="0" w:color="auto"/>
            </w:tcBorders>
            <w:shd w:val="clear" w:color="auto" w:fill="auto"/>
            <w:noWrap/>
            <w:vAlign w:val="bottom"/>
            <w:hideMark/>
          </w:tcPr>
          <w:p w14:paraId="51DDF456"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2,97</w:t>
            </w:r>
          </w:p>
        </w:tc>
        <w:tc>
          <w:tcPr>
            <w:tcW w:w="1134" w:type="dxa"/>
            <w:tcBorders>
              <w:top w:val="nil"/>
              <w:left w:val="nil"/>
              <w:right w:val="single" w:sz="4" w:space="0" w:color="auto"/>
            </w:tcBorders>
            <w:shd w:val="clear" w:color="auto" w:fill="auto"/>
            <w:noWrap/>
            <w:vAlign w:val="bottom"/>
            <w:hideMark/>
          </w:tcPr>
          <w:p w14:paraId="4AF36E91"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110,40</w:t>
            </w:r>
          </w:p>
        </w:tc>
      </w:tr>
      <w:tr w:rsidR="00A112FF" w:rsidRPr="005B76E4" w14:paraId="6B283C7E" w14:textId="77777777" w:rsidTr="00BC2C03">
        <w:trPr>
          <w:trHeight w:val="288"/>
        </w:trPr>
        <w:tc>
          <w:tcPr>
            <w:tcW w:w="1111" w:type="dxa"/>
            <w:tcBorders>
              <w:top w:val="nil"/>
              <w:left w:val="double" w:sz="6" w:space="0" w:color="auto"/>
              <w:bottom w:val="single" w:sz="4" w:space="0" w:color="auto"/>
              <w:right w:val="single" w:sz="4" w:space="0" w:color="auto"/>
            </w:tcBorders>
            <w:shd w:val="clear" w:color="000000" w:fill="BFBFBF"/>
            <w:noWrap/>
            <w:vAlign w:val="bottom"/>
            <w:hideMark/>
          </w:tcPr>
          <w:p w14:paraId="7644FF4C"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14:paraId="50030CA8"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xml:space="preserve">       70.827,40 € </w:t>
            </w:r>
          </w:p>
        </w:tc>
        <w:tc>
          <w:tcPr>
            <w:tcW w:w="1184" w:type="dxa"/>
            <w:tcBorders>
              <w:top w:val="nil"/>
              <w:left w:val="nil"/>
              <w:bottom w:val="single" w:sz="4" w:space="0" w:color="auto"/>
              <w:right w:val="single" w:sz="4" w:space="0" w:color="auto"/>
            </w:tcBorders>
            <w:shd w:val="clear" w:color="auto" w:fill="auto"/>
            <w:noWrap/>
            <w:vAlign w:val="bottom"/>
            <w:hideMark/>
          </w:tcPr>
          <w:p w14:paraId="20096139"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22E39988" w14:textId="77777777" w:rsidR="00A112FF" w:rsidRPr="00E85B2D" w:rsidRDefault="00A112FF" w:rsidP="005B76E4">
            <w:pPr>
              <w:overflowPunct/>
              <w:autoSpaceDE/>
              <w:autoSpaceDN/>
              <w:adjustRightInd/>
              <w:jc w:val="center"/>
              <w:textAlignment w:val="auto"/>
              <w:rPr>
                <w:rFonts w:ascii="Arial" w:hAnsi="Arial" w:cs="Arial"/>
                <w:color w:val="000000"/>
              </w:rPr>
            </w:pPr>
            <w:r w:rsidRPr="00E85B2D">
              <w:rPr>
                <w:rFonts w:ascii="Arial" w:hAnsi="Arial" w:cs="Arial"/>
                <w:color w:val="000000"/>
              </w:rPr>
              <w:t>113,59</w:t>
            </w:r>
          </w:p>
        </w:tc>
      </w:tr>
      <w:tr w:rsidR="00A112FF" w:rsidRPr="005B76E4" w14:paraId="5F0F3151" w14:textId="77777777" w:rsidTr="00BC2C03">
        <w:trPr>
          <w:trHeight w:val="300"/>
        </w:trPr>
        <w:tc>
          <w:tcPr>
            <w:tcW w:w="1111"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BADDBF1"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w:t>
            </w:r>
          </w:p>
        </w:tc>
        <w:tc>
          <w:tcPr>
            <w:tcW w:w="1701" w:type="dxa"/>
            <w:tcBorders>
              <w:top w:val="single" w:sz="4" w:space="0" w:color="auto"/>
              <w:left w:val="nil"/>
              <w:bottom w:val="double" w:sz="6" w:space="0" w:color="auto"/>
              <w:right w:val="single" w:sz="4" w:space="0" w:color="auto"/>
            </w:tcBorders>
            <w:shd w:val="clear" w:color="auto" w:fill="auto"/>
            <w:noWrap/>
            <w:vAlign w:val="bottom"/>
            <w:hideMark/>
          </w:tcPr>
          <w:p w14:paraId="47DB6C3D"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w:t>
            </w:r>
          </w:p>
        </w:tc>
        <w:tc>
          <w:tcPr>
            <w:tcW w:w="1184" w:type="dxa"/>
            <w:tcBorders>
              <w:top w:val="single" w:sz="4" w:space="0" w:color="auto"/>
              <w:left w:val="nil"/>
              <w:bottom w:val="double" w:sz="6" w:space="0" w:color="auto"/>
              <w:right w:val="single" w:sz="4" w:space="0" w:color="auto"/>
            </w:tcBorders>
            <w:shd w:val="clear" w:color="auto" w:fill="auto"/>
            <w:noWrap/>
            <w:vAlign w:val="bottom"/>
            <w:hideMark/>
          </w:tcPr>
          <w:p w14:paraId="47D44922" w14:textId="77777777" w:rsidR="00A112FF" w:rsidRPr="00E85B2D" w:rsidRDefault="00A112FF" w:rsidP="005B76E4">
            <w:pPr>
              <w:overflowPunct/>
              <w:autoSpaceDE/>
              <w:autoSpaceDN/>
              <w:adjustRightInd/>
              <w:textAlignment w:val="auto"/>
              <w:rPr>
                <w:rFonts w:ascii="Arial" w:hAnsi="Arial" w:cs="Arial"/>
                <w:color w:val="000000"/>
              </w:rPr>
            </w:pPr>
            <w:r w:rsidRPr="00E85B2D">
              <w:rPr>
                <w:rFonts w:ascii="Arial" w:hAnsi="Arial" w:cs="Arial"/>
                <w:color w:val="000000"/>
              </w:rPr>
              <w:t> </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14:paraId="3606898D" w14:textId="77777777" w:rsidR="00A112FF" w:rsidRPr="00E85B2D" w:rsidRDefault="00A112FF" w:rsidP="005B76E4">
            <w:pPr>
              <w:overflowPunct/>
              <w:autoSpaceDE/>
              <w:autoSpaceDN/>
              <w:adjustRightInd/>
              <w:jc w:val="center"/>
              <w:textAlignment w:val="auto"/>
              <w:rPr>
                <w:rFonts w:ascii="Arial" w:hAnsi="Arial" w:cs="Arial"/>
                <w:b/>
                <w:bCs/>
                <w:color w:val="000000"/>
              </w:rPr>
            </w:pPr>
            <w:r w:rsidRPr="00E85B2D">
              <w:rPr>
                <w:rFonts w:ascii="Arial" w:hAnsi="Arial" w:cs="Arial"/>
                <w:b/>
                <w:bCs/>
                <w:color w:val="000000"/>
              </w:rPr>
              <w:t>13,59</w:t>
            </w:r>
          </w:p>
        </w:tc>
      </w:tr>
    </w:tbl>
    <w:p w14:paraId="3C333CB7" w14:textId="77777777" w:rsidR="00331593" w:rsidRDefault="00331593" w:rsidP="00E85B2D">
      <w:pPr>
        <w:overflowPunct/>
        <w:autoSpaceDE/>
        <w:autoSpaceDN/>
        <w:adjustRightInd/>
        <w:spacing w:line="276" w:lineRule="auto"/>
        <w:ind w:left="708"/>
        <w:contextualSpacing/>
        <w:textAlignment w:val="auto"/>
        <w:rPr>
          <w:rFonts w:ascii="Arial" w:eastAsia="Calibri" w:hAnsi="Arial" w:cs="Arial"/>
          <w:sz w:val="24"/>
          <w:szCs w:val="24"/>
          <w:lang w:eastAsia="en-US"/>
        </w:rPr>
      </w:pPr>
    </w:p>
    <w:p w14:paraId="4D03FF9E" w14:textId="4CBB24EE" w:rsidR="001357FC" w:rsidRDefault="00EE2B8F" w:rsidP="00E85B2D">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Die sog</w:t>
      </w:r>
      <w:r w:rsidR="00825000">
        <w:rPr>
          <w:rFonts w:ascii="Arial" w:eastAsia="Calibri" w:hAnsi="Arial" w:cs="Arial"/>
          <w:sz w:val="24"/>
          <w:szCs w:val="24"/>
          <w:lang w:eastAsia="en-US"/>
        </w:rPr>
        <w:t>.</w:t>
      </w:r>
      <w:r>
        <w:rPr>
          <w:rFonts w:ascii="Arial" w:eastAsia="Calibri" w:hAnsi="Arial" w:cs="Arial"/>
          <w:sz w:val="24"/>
          <w:szCs w:val="24"/>
          <w:lang w:eastAsia="en-US"/>
        </w:rPr>
        <w:t xml:space="preserve"> Spitzausrechnung </w:t>
      </w:r>
      <w:r w:rsidR="009E4C20">
        <w:rPr>
          <w:rFonts w:ascii="Arial" w:eastAsia="Calibri" w:hAnsi="Arial" w:cs="Arial"/>
          <w:sz w:val="24"/>
          <w:szCs w:val="24"/>
          <w:lang w:eastAsia="en-US"/>
        </w:rPr>
        <w:t>erg</w:t>
      </w:r>
      <w:r>
        <w:rPr>
          <w:rFonts w:ascii="Arial" w:eastAsia="Calibri" w:hAnsi="Arial" w:cs="Arial"/>
          <w:sz w:val="24"/>
          <w:szCs w:val="24"/>
          <w:lang w:eastAsia="en-US"/>
        </w:rPr>
        <w:t>i</w:t>
      </w:r>
      <w:r w:rsidR="009E4C20">
        <w:rPr>
          <w:rFonts w:ascii="Arial" w:eastAsia="Calibri" w:hAnsi="Arial" w:cs="Arial"/>
          <w:sz w:val="24"/>
          <w:szCs w:val="24"/>
          <w:lang w:eastAsia="en-US"/>
        </w:rPr>
        <w:t>b</w:t>
      </w:r>
      <w:r>
        <w:rPr>
          <w:rFonts w:ascii="Arial" w:eastAsia="Calibri" w:hAnsi="Arial" w:cs="Arial"/>
          <w:sz w:val="24"/>
          <w:szCs w:val="24"/>
          <w:lang w:eastAsia="en-US"/>
        </w:rPr>
        <w:t>t</w:t>
      </w:r>
      <w:r w:rsidR="009E4C20">
        <w:rPr>
          <w:rFonts w:ascii="Arial" w:eastAsia="Calibri" w:hAnsi="Arial" w:cs="Arial"/>
          <w:sz w:val="24"/>
          <w:szCs w:val="24"/>
          <w:lang w:eastAsia="en-US"/>
        </w:rPr>
        <w:t xml:space="preserve"> die folgenden </w:t>
      </w:r>
      <w:r>
        <w:rPr>
          <w:rFonts w:ascii="Arial" w:eastAsia="Calibri" w:hAnsi="Arial" w:cs="Arial"/>
          <w:sz w:val="24"/>
          <w:szCs w:val="24"/>
          <w:lang w:eastAsia="en-US"/>
        </w:rPr>
        <w:t xml:space="preserve">Unterschreitungen der Besoldungsentwicklung im Vergleich zur Entwicklung </w:t>
      </w:r>
      <w:r w:rsidR="009E4C20">
        <w:rPr>
          <w:rFonts w:ascii="Arial" w:eastAsia="Calibri" w:hAnsi="Arial" w:cs="Arial"/>
          <w:sz w:val="24"/>
          <w:szCs w:val="24"/>
          <w:lang w:eastAsia="en-US"/>
        </w:rPr>
        <w:t>bei den ersten drei Parametern:</w:t>
      </w:r>
    </w:p>
    <w:p w14:paraId="2BAEB569" w14:textId="77777777" w:rsidR="00D55EDB" w:rsidRDefault="00D55EDB" w:rsidP="00E85B2D">
      <w:pPr>
        <w:overflowPunct/>
        <w:autoSpaceDE/>
        <w:autoSpaceDN/>
        <w:adjustRightInd/>
        <w:spacing w:line="276" w:lineRule="auto"/>
        <w:ind w:left="708"/>
        <w:contextualSpacing/>
        <w:jc w:val="both"/>
        <w:textAlignment w:val="auto"/>
        <w:rPr>
          <w:rFonts w:ascii="Arial" w:eastAsia="Calibri" w:hAnsi="Arial" w:cs="Arial"/>
          <w:sz w:val="24"/>
          <w:szCs w:val="24"/>
          <w:lang w:eastAsia="en-US"/>
        </w:rPr>
      </w:pPr>
    </w:p>
    <w:tbl>
      <w:tblPr>
        <w:tblW w:w="6499" w:type="dxa"/>
        <w:tblInd w:w="801" w:type="dxa"/>
        <w:tblLayout w:type="fixed"/>
        <w:tblCellMar>
          <w:left w:w="70" w:type="dxa"/>
          <w:right w:w="70" w:type="dxa"/>
        </w:tblCellMar>
        <w:tblLook w:val="04A0" w:firstRow="1" w:lastRow="0" w:firstColumn="1" w:lastColumn="0" w:noHBand="0" w:noVBand="1"/>
      </w:tblPr>
      <w:tblGrid>
        <w:gridCol w:w="1043"/>
        <w:gridCol w:w="1241"/>
        <w:gridCol w:w="1277"/>
        <w:gridCol w:w="1217"/>
        <w:gridCol w:w="1721"/>
      </w:tblGrid>
      <w:tr w:rsidR="009E4C20" w:rsidRPr="00F32A1C" w14:paraId="33AF40D3" w14:textId="77777777" w:rsidTr="00DB0DCB">
        <w:trPr>
          <w:trHeight w:val="300"/>
        </w:trPr>
        <w:tc>
          <w:tcPr>
            <w:tcW w:w="6499" w:type="dxa"/>
            <w:gridSpan w:val="5"/>
            <w:tcBorders>
              <w:top w:val="double" w:sz="6" w:space="0" w:color="auto"/>
              <w:left w:val="double" w:sz="6" w:space="0" w:color="auto"/>
              <w:bottom w:val="nil"/>
              <w:right w:val="double" w:sz="6" w:space="0" w:color="000000"/>
            </w:tcBorders>
            <w:shd w:val="clear" w:color="auto" w:fill="auto"/>
            <w:vAlign w:val="bottom"/>
            <w:hideMark/>
          </w:tcPr>
          <w:p w14:paraId="35F28398"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Besoldungsgruppe R 1</w:t>
            </w:r>
          </w:p>
        </w:tc>
      </w:tr>
      <w:tr w:rsidR="009E4C20" w:rsidRPr="00F32A1C" w14:paraId="69C283C8" w14:textId="77777777" w:rsidTr="00DB0DCB">
        <w:trPr>
          <w:trHeight w:val="828"/>
        </w:trPr>
        <w:tc>
          <w:tcPr>
            <w:tcW w:w="104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556B9FD"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4B2A08DC" w14:textId="03CE765B"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Anstieg Tarifverdienste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6A2B39E"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Anstieg der Besoldung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AD18A1E"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1. Parameter </w:t>
            </w:r>
          </w:p>
        </w:tc>
        <w:tc>
          <w:tcPr>
            <w:tcW w:w="1721" w:type="dxa"/>
            <w:tcBorders>
              <w:top w:val="single" w:sz="4" w:space="0" w:color="auto"/>
              <w:left w:val="nil"/>
              <w:bottom w:val="single" w:sz="4" w:space="0" w:color="auto"/>
              <w:right w:val="double" w:sz="6" w:space="0" w:color="auto"/>
            </w:tcBorders>
            <w:shd w:val="clear" w:color="auto" w:fill="auto"/>
            <w:vAlign w:val="center"/>
            <w:hideMark/>
          </w:tcPr>
          <w:p w14:paraId="63AC72F1" w14:textId="77777777" w:rsidR="009E4C20" w:rsidRPr="00F32A1C" w:rsidRDefault="009E4C20" w:rsidP="009E4C20">
            <w:pPr>
              <w:overflowPunct/>
              <w:autoSpaceDE/>
              <w:autoSpaceDN/>
              <w:adjustRightInd/>
              <w:textAlignment w:val="auto"/>
              <w:rPr>
                <w:rFonts w:ascii="Arial" w:hAnsi="Arial" w:cs="Arial"/>
                <w:b/>
                <w:bCs/>
                <w:color w:val="000000"/>
              </w:rPr>
            </w:pPr>
            <w:r w:rsidRPr="00F32A1C">
              <w:rPr>
                <w:rFonts w:ascii="Arial" w:hAnsi="Arial" w:cs="Arial"/>
                <w:b/>
                <w:bCs/>
                <w:color w:val="000000"/>
              </w:rPr>
              <w:t>Staffelprüfung</w:t>
            </w:r>
          </w:p>
        </w:tc>
      </w:tr>
      <w:tr w:rsidR="009E4C20" w:rsidRPr="00F32A1C" w14:paraId="3735B434" w14:textId="77777777" w:rsidTr="00DB0DCB">
        <w:trPr>
          <w:trHeight w:val="288"/>
        </w:trPr>
        <w:tc>
          <w:tcPr>
            <w:tcW w:w="6499"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66466FA3"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im 15-jährigen Betrachtungszeitraum (jeweils in %) </w:t>
            </w:r>
          </w:p>
        </w:tc>
      </w:tr>
      <w:tr w:rsidR="009E4C20" w:rsidRPr="00F32A1C" w14:paraId="19CA6985" w14:textId="77777777" w:rsidTr="00DB0DCB">
        <w:trPr>
          <w:trHeight w:val="288"/>
        </w:trPr>
        <w:tc>
          <w:tcPr>
            <w:tcW w:w="1043" w:type="dxa"/>
            <w:tcBorders>
              <w:top w:val="single" w:sz="4" w:space="0" w:color="auto"/>
              <w:left w:val="double" w:sz="6" w:space="0" w:color="auto"/>
              <w:bottom w:val="double" w:sz="6" w:space="0" w:color="auto"/>
              <w:right w:val="single" w:sz="4" w:space="0" w:color="auto"/>
            </w:tcBorders>
            <w:shd w:val="clear" w:color="000000" w:fill="D9D9D9"/>
            <w:noWrap/>
            <w:vAlign w:val="bottom"/>
            <w:hideMark/>
          </w:tcPr>
          <w:p w14:paraId="224F0FA0"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2016</w:t>
            </w:r>
          </w:p>
        </w:tc>
        <w:tc>
          <w:tcPr>
            <w:tcW w:w="1241" w:type="dxa"/>
            <w:tcBorders>
              <w:top w:val="single" w:sz="4" w:space="0" w:color="auto"/>
              <w:left w:val="nil"/>
              <w:bottom w:val="double" w:sz="6" w:space="0" w:color="auto"/>
              <w:right w:val="single" w:sz="4" w:space="0" w:color="auto"/>
            </w:tcBorders>
            <w:shd w:val="clear" w:color="auto" w:fill="auto"/>
            <w:noWrap/>
            <w:vAlign w:val="bottom"/>
            <w:hideMark/>
          </w:tcPr>
          <w:p w14:paraId="4E1733B5"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28,65</w:t>
            </w:r>
          </w:p>
        </w:tc>
        <w:tc>
          <w:tcPr>
            <w:tcW w:w="1277" w:type="dxa"/>
            <w:tcBorders>
              <w:top w:val="single" w:sz="4" w:space="0" w:color="auto"/>
              <w:left w:val="nil"/>
              <w:bottom w:val="double" w:sz="6" w:space="0" w:color="auto"/>
              <w:right w:val="single" w:sz="4" w:space="0" w:color="auto"/>
            </w:tcBorders>
            <w:shd w:val="clear" w:color="auto" w:fill="auto"/>
            <w:noWrap/>
            <w:vAlign w:val="bottom"/>
            <w:hideMark/>
          </w:tcPr>
          <w:p w14:paraId="6B2784A3"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13,59</w:t>
            </w:r>
          </w:p>
        </w:tc>
        <w:tc>
          <w:tcPr>
            <w:tcW w:w="1217" w:type="dxa"/>
            <w:tcBorders>
              <w:top w:val="single" w:sz="4" w:space="0" w:color="auto"/>
              <w:left w:val="nil"/>
              <w:bottom w:val="double" w:sz="6" w:space="0" w:color="auto"/>
              <w:right w:val="single" w:sz="4" w:space="0" w:color="auto"/>
            </w:tcBorders>
            <w:shd w:val="clear" w:color="auto" w:fill="auto"/>
            <w:noWrap/>
            <w:vAlign w:val="bottom"/>
            <w:hideMark/>
          </w:tcPr>
          <w:p w14:paraId="661851E8"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rPr>
              <w:t>13,26</w:t>
            </w:r>
          </w:p>
        </w:tc>
        <w:tc>
          <w:tcPr>
            <w:tcW w:w="1721" w:type="dxa"/>
            <w:tcBorders>
              <w:top w:val="single" w:sz="4" w:space="0" w:color="auto"/>
              <w:left w:val="nil"/>
              <w:bottom w:val="double" w:sz="6" w:space="0" w:color="auto"/>
              <w:right w:val="double" w:sz="6" w:space="0" w:color="auto"/>
            </w:tcBorders>
            <w:shd w:val="clear" w:color="auto" w:fill="auto"/>
            <w:noWrap/>
            <w:vAlign w:val="bottom"/>
            <w:hideMark/>
          </w:tcPr>
          <w:p w14:paraId="4E0B1250"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11,62</w:t>
            </w:r>
          </w:p>
        </w:tc>
      </w:tr>
    </w:tbl>
    <w:p w14:paraId="291AD020" w14:textId="04AF329F" w:rsidR="009E4C20" w:rsidRPr="00F32A1C" w:rsidRDefault="009E4C20" w:rsidP="009E4C20">
      <w:pPr>
        <w:overflowPunct/>
        <w:autoSpaceDE/>
        <w:autoSpaceDN/>
        <w:adjustRightInd/>
        <w:spacing w:line="480" w:lineRule="exact"/>
        <w:ind w:left="708"/>
        <w:contextualSpacing/>
        <w:textAlignment w:val="auto"/>
        <w:rPr>
          <w:rFonts w:ascii="Arial" w:eastAsia="Calibri" w:hAnsi="Arial" w:cs="Arial"/>
          <w:lang w:eastAsia="en-US"/>
        </w:rPr>
      </w:pPr>
    </w:p>
    <w:tbl>
      <w:tblPr>
        <w:tblW w:w="6499" w:type="dxa"/>
        <w:tblInd w:w="801" w:type="dxa"/>
        <w:tblLayout w:type="fixed"/>
        <w:tblCellMar>
          <w:left w:w="70" w:type="dxa"/>
          <w:right w:w="70" w:type="dxa"/>
        </w:tblCellMar>
        <w:tblLook w:val="04A0" w:firstRow="1" w:lastRow="0" w:firstColumn="1" w:lastColumn="0" w:noHBand="0" w:noVBand="1"/>
      </w:tblPr>
      <w:tblGrid>
        <w:gridCol w:w="970"/>
        <w:gridCol w:w="1276"/>
        <w:gridCol w:w="1277"/>
        <w:gridCol w:w="1275"/>
        <w:gridCol w:w="1701"/>
      </w:tblGrid>
      <w:tr w:rsidR="009E4C20" w:rsidRPr="00F32A1C" w14:paraId="49C868AB" w14:textId="77777777" w:rsidTr="00DB0DCB">
        <w:trPr>
          <w:trHeight w:val="300"/>
        </w:trPr>
        <w:tc>
          <w:tcPr>
            <w:tcW w:w="6499" w:type="dxa"/>
            <w:gridSpan w:val="5"/>
            <w:tcBorders>
              <w:top w:val="double" w:sz="6" w:space="0" w:color="auto"/>
              <w:left w:val="double" w:sz="6" w:space="0" w:color="auto"/>
              <w:bottom w:val="single" w:sz="4" w:space="0" w:color="auto"/>
              <w:right w:val="double" w:sz="6" w:space="0" w:color="000000"/>
            </w:tcBorders>
            <w:shd w:val="clear" w:color="auto" w:fill="auto"/>
            <w:vAlign w:val="bottom"/>
            <w:hideMark/>
          </w:tcPr>
          <w:p w14:paraId="36C54A84"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Besoldungsgruppe R 1</w:t>
            </w:r>
          </w:p>
        </w:tc>
      </w:tr>
      <w:tr w:rsidR="00921AD0" w:rsidRPr="00F32A1C" w14:paraId="7C9C1F27" w14:textId="77777777" w:rsidTr="00E94361">
        <w:trPr>
          <w:trHeight w:val="828"/>
        </w:trPr>
        <w:tc>
          <w:tcPr>
            <w:tcW w:w="970" w:type="dxa"/>
            <w:tcBorders>
              <w:top w:val="nil"/>
              <w:left w:val="double" w:sz="6" w:space="0" w:color="auto"/>
              <w:bottom w:val="single" w:sz="4" w:space="0" w:color="auto"/>
              <w:right w:val="single" w:sz="4" w:space="0" w:color="auto"/>
            </w:tcBorders>
            <w:shd w:val="clear" w:color="auto" w:fill="auto"/>
            <w:vAlign w:val="center"/>
            <w:hideMark/>
          </w:tcPr>
          <w:p w14:paraId="2864433C" w14:textId="2624517F" w:rsidR="009E4C20" w:rsidRPr="00F32A1C" w:rsidRDefault="009E4C20" w:rsidP="009E4C20">
            <w:pPr>
              <w:overflowPunct/>
              <w:autoSpaceDE/>
              <w:autoSpaceDN/>
              <w:adjustRightInd/>
              <w:jc w:val="center"/>
              <w:textAlignment w:val="auto"/>
              <w:rPr>
                <w:rFonts w:ascii="Arial" w:hAnsi="Arial" w:cs="Arial"/>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97429D8" w14:textId="5C692A0B"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Anstieg Nominal-lohn</w:t>
            </w:r>
            <w:r w:rsidR="00F32A1C">
              <w:rPr>
                <w:rFonts w:ascii="Arial" w:hAnsi="Arial" w:cs="Arial"/>
                <w:b/>
                <w:bCs/>
                <w:color w:val="000000"/>
              </w:rPr>
              <w:t>index</w:t>
            </w:r>
            <w:r w:rsidRPr="00F32A1C">
              <w:rPr>
                <w:rFonts w:ascii="Arial" w:hAnsi="Arial" w:cs="Arial"/>
                <w:b/>
                <w:bCs/>
                <w:color w:val="00000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14:paraId="6875FD29"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Anstieg der Besoldung </w:t>
            </w:r>
          </w:p>
        </w:tc>
        <w:tc>
          <w:tcPr>
            <w:tcW w:w="1275" w:type="dxa"/>
            <w:tcBorders>
              <w:top w:val="nil"/>
              <w:left w:val="nil"/>
              <w:bottom w:val="single" w:sz="4" w:space="0" w:color="auto"/>
              <w:right w:val="single" w:sz="4" w:space="0" w:color="auto"/>
            </w:tcBorders>
            <w:shd w:val="clear" w:color="auto" w:fill="auto"/>
            <w:vAlign w:val="center"/>
            <w:hideMark/>
          </w:tcPr>
          <w:p w14:paraId="117E08DB"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2. Parameter </w:t>
            </w:r>
          </w:p>
        </w:tc>
        <w:tc>
          <w:tcPr>
            <w:tcW w:w="1701" w:type="dxa"/>
            <w:tcBorders>
              <w:top w:val="nil"/>
              <w:left w:val="nil"/>
              <w:bottom w:val="single" w:sz="4" w:space="0" w:color="auto"/>
              <w:right w:val="double" w:sz="6" w:space="0" w:color="auto"/>
            </w:tcBorders>
            <w:shd w:val="clear" w:color="auto" w:fill="auto"/>
            <w:vAlign w:val="center"/>
            <w:hideMark/>
          </w:tcPr>
          <w:p w14:paraId="2B266FCF" w14:textId="77777777" w:rsidR="009E4C20" w:rsidRPr="00F32A1C" w:rsidRDefault="009E4C20" w:rsidP="009E4C20">
            <w:pPr>
              <w:overflowPunct/>
              <w:autoSpaceDE/>
              <w:autoSpaceDN/>
              <w:adjustRightInd/>
              <w:textAlignment w:val="auto"/>
              <w:rPr>
                <w:rFonts w:ascii="Arial" w:hAnsi="Arial" w:cs="Arial"/>
                <w:b/>
                <w:bCs/>
                <w:color w:val="000000"/>
              </w:rPr>
            </w:pPr>
            <w:r w:rsidRPr="00F32A1C">
              <w:rPr>
                <w:rFonts w:ascii="Arial" w:hAnsi="Arial" w:cs="Arial"/>
                <w:b/>
                <w:bCs/>
                <w:color w:val="000000"/>
              </w:rPr>
              <w:t>Staffelprüfung</w:t>
            </w:r>
          </w:p>
        </w:tc>
      </w:tr>
      <w:tr w:rsidR="009E4C20" w:rsidRPr="00F32A1C" w14:paraId="778EFC6D" w14:textId="77777777" w:rsidTr="00E94361">
        <w:trPr>
          <w:trHeight w:val="288"/>
        </w:trPr>
        <w:tc>
          <w:tcPr>
            <w:tcW w:w="6499"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0C641BE6"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 xml:space="preserve"> im 15-jährigen Betrachtungszeitraum (jeweils in %) </w:t>
            </w:r>
          </w:p>
        </w:tc>
      </w:tr>
      <w:tr w:rsidR="00921AD0" w:rsidRPr="00F32A1C" w14:paraId="39F1A6B5" w14:textId="77777777" w:rsidTr="00E94361">
        <w:trPr>
          <w:trHeight w:val="288"/>
        </w:trPr>
        <w:tc>
          <w:tcPr>
            <w:tcW w:w="970" w:type="dxa"/>
            <w:tcBorders>
              <w:top w:val="single" w:sz="4" w:space="0" w:color="auto"/>
              <w:left w:val="double" w:sz="6" w:space="0" w:color="auto"/>
              <w:bottom w:val="double" w:sz="6" w:space="0" w:color="auto"/>
              <w:right w:val="single" w:sz="4" w:space="0" w:color="auto"/>
            </w:tcBorders>
            <w:shd w:val="clear" w:color="000000" w:fill="D9D9D9"/>
            <w:noWrap/>
            <w:vAlign w:val="bottom"/>
            <w:hideMark/>
          </w:tcPr>
          <w:p w14:paraId="4376D271" w14:textId="77777777" w:rsidR="009E4C20" w:rsidRPr="00F32A1C" w:rsidRDefault="009E4C20" w:rsidP="009E4C20">
            <w:pPr>
              <w:overflowPunct/>
              <w:autoSpaceDE/>
              <w:autoSpaceDN/>
              <w:adjustRightInd/>
              <w:jc w:val="center"/>
              <w:textAlignment w:val="auto"/>
              <w:rPr>
                <w:rFonts w:ascii="Arial" w:hAnsi="Arial" w:cs="Arial"/>
                <w:b/>
                <w:bCs/>
                <w:color w:val="000000"/>
              </w:rPr>
            </w:pPr>
            <w:r w:rsidRPr="00F32A1C">
              <w:rPr>
                <w:rFonts w:ascii="Arial" w:hAnsi="Arial" w:cs="Arial"/>
                <w:b/>
                <w:bCs/>
                <w:color w:val="000000"/>
              </w:rPr>
              <w:t>2016</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407401CE"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23,28</w:t>
            </w:r>
          </w:p>
        </w:tc>
        <w:tc>
          <w:tcPr>
            <w:tcW w:w="1277" w:type="dxa"/>
            <w:tcBorders>
              <w:top w:val="single" w:sz="4" w:space="0" w:color="auto"/>
              <w:left w:val="nil"/>
              <w:bottom w:val="double" w:sz="6" w:space="0" w:color="auto"/>
              <w:right w:val="single" w:sz="4" w:space="0" w:color="auto"/>
            </w:tcBorders>
            <w:shd w:val="clear" w:color="auto" w:fill="auto"/>
            <w:noWrap/>
            <w:vAlign w:val="bottom"/>
            <w:hideMark/>
          </w:tcPr>
          <w:p w14:paraId="3D7623FD"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13,59</w:t>
            </w:r>
          </w:p>
        </w:tc>
        <w:tc>
          <w:tcPr>
            <w:tcW w:w="1275" w:type="dxa"/>
            <w:tcBorders>
              <w:top w:val="single" w:sz="4" w:space="0" w:color="auto"/>
              <w:left w:val="nil"/>
              <w:bottom w:val="double" w:sz="6" w:space="0" w:color="auto"/>
              <w:right w:val="single" w:sz="4" w:space="0" w:color="auto"/>
            </w:tcBorders>
            <w:shd w:val="clear" w:color="auto" w:fill="auto"/>
            <w:noWrap/>
            <w:vAlign w:val="bottom"/>
            <w:hideMark/>
          </w:tcPr>
          <w:p w14:paraId="784F66D1"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8,53</w:t>
            </w:r>
          </w:p>
        </w:tc>
        <w:tc>
          <w:tcPr>
            <w:tcW w:w="1701" w:type="dxa"/>
            <w:tcBorders>
              <w:top w:val="single" w:sz="4" w:space="0" w:color="auto"/>
              <w:left w:val="nil"/>
              <w:bottom w:val="double" w:sz="6" w:space="0" w:color="auto"/>
              <w:right w:val="double" w:sz="6" w:space="0" w:color="auto"/>
            </w:tcBorders>
            <w:shd w:val="clear" w:color="auto" w:fill="auto"/>
            <w:noWrap/>
            <w:vAlign w:val="bottom"/>
            <w:hideMark/>
          </w:tcPr>
          <w:p w14:paraId="19284BD3" w14:textId="77777777" w:rsidR="009E4C20" w:rsidRPr="00F32A1C" w:rsidRDefault="009E4C20" w:rsidP="009E4C20">
            <w:pPr>
              <w:overflowPunct/>
              <w:autoSpaceDE/>
              <w:autoSpaceDN/>
              <w:adjustRightInd/>
              <w:jc w:val="center"/>
              <w:textAlignment w:val="auto"/>
              <w:rPr>
                <w:rFonts w:ascii="Arial" w:hAnsi="Arial" w:cs="Arial"/>
                <w:color w:val="000000"/>
              </w:rPr>
            </w:pPr>
            <w:r w:rsidRPr="00F32A1C">
              <w:rPr>
                <w:rFonts w:ascii="Arial" w:hAnsi="Arial" w:cs="Arial"/>
                <w:color w:val="000000"/>
              </w:rPr>
              <w:t>0,18</w:t>
            </w:r>
          </w:p>
        </w:tc>
      </w:tr>
    </w:tbl>
    <w:p w14:paraId="5AF939CE" w14:textId="77777777" w:rsidR="00FF3012" w:rsidRPr="00F32A1C" w:rsidRDefault="00FF3012" w:rsidP="009E4C20">
      <w:pPr>
        <w:overflowPunct/>
        <w:autoSpaceDE/>
        <w:autoSpaceDN/>
        <w:adjustRightInd/>
        <w:spacing w:line="480" w:lineRule="exact"/>
        <w:ind w:left="708"/>
        <w:contextualSpacing/>
        <w:textAlignment w:val="auto"/>
        <w:rPr>
          <w:rFonts w:ascii="Arial" w:eastAsia="Calibri" w:hAnsi="Arial" w:cs="Arial"/>
          <w:lang w:eastAsia="en-US"/>
        </w:rPr>
      </w:pPr>
    </w:p>
    <w:tbl>
      <w:tblPr>
        <w:tblW w:w="6499" w:type="dxa"/>
        <w:tblInd w:w="801" w:type="dxa"/>
        <w:tblLayout w:type="fixed"/>
        <w:tblCellMar>
          <w:left w:w="70" w:type="dxa"/>
          <w:right w:w="70" w:type="dxa"/>
        </w:tblCellMar>
        <w:tblLook w:val="04A0" w:firstRow="1" w:lastRow="0" w:firstColumn="1" w:lastColumn="0" w:noHBand="0" w:noVBand="1"/>
      </w:tblPr>
      <w:tblGrid>
        <w:gridCol w:w="970"/>
        <w:gridCol w:w="1276"/>
        <w:gridCol w:w="1276"/>
        <w:gridCol w:w="1134"/>
        <w:gridCol w:w="1843"/>
      </w:tblGrid>
      <w:tr w:rsidR="009E4C20" w:rsidRPr="00F32A1C" w14:paraId="7922DAA5" w14:textId="77777777" w:rsidTr="00DB0DCB">
        <w:trPr>
          <w:trHeight w:val="300"/>
        </w:trPr>
        <w:tc>
          <w:tcPr>
            <w:tcW w:w="6499" w:type="dxa"/>
            <w:gridSpan w:val="5"/>
            <w:tcBorders>
              <w:top w:val="double" w:sz="6" w:space="0" w:color="auto"/>
              <w:left w:val="double" w:sz="6" w:space="0" w:color="auto"/>
              <w:bottom w:val="nil"/>
              <w:right w:val="double" w:sz="6" w:space="0" w:color="000000"/>
            </w:tcBorders>
            <w:shd w:val="clear" w:color="auto" w:fill="auto"/>
            <w:vAlign w:val="bottom"/>
            <w:hideMark/>
          </w:tcPr>
          <w:p w14:paraId="5F952E6C" w14:textId="77777777"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Besoldungsgruppe R 1</w:t>
            </w:r>
          </w:p>
        </w:tc>
      </w:tr>
      <w:tr w:rsidR="00DB0DCB" w:rsidRPr="00F32A1C" w14:paraId="1F6EE88D" w14:textId="77777777" w:rsidTr="00E94361">
        <w:trPr>
          <w:trHeight w:val="1104"/>
        </w:trPr>
        <w:tc>
          <w:tcPr>
            <w:tcW w:w="97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92ADDFB" w14:textId="5A57477B" w:rsidR="009E4C20" w:rsidRPr="00F32A1C" w:rsidRDefault="009E4C20" w:rsidP="009E4C20">
            <w:pPr>
              <w:overflowPunct/>
              <w:autoSpaceDE/>
              <w:autoSpaceDN/>
              <w:adjustRightInd/>
              <w:jc w:val="center"/>
              <w:textAlignment w:val="auto"/>
              <w:rPr>
                <w:rFonts w:ascii="Arial" w:hAnsi="Arial" w:cs="Arial"/>
                <w:b/>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92D1B6" w14:textId="229F227B"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 xml:space="preserve"> Anstieg Verbraucherpreis-index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83D954" w14:textId="77777777"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 xml:space="preserve"> Anstieg der Besoldung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355DC9" w14:textId="77777777"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 xml:space="preserve"> 3. Parameter </w:t>
            </w:r>
          </w:p>
        </w:tc>
        <w:tc>
          <w:tcPr>
            <w:tcW w:w="1843" w:type="dxa"/>
            <w:tcBorders>
              <w:top w:val="single" w:sz="4" w:space="0" w:color="auto"/>
              <w:left w:val="nil"/>
              <w:bottom w:val="single" w:sz="4" w:space="0" w:color="auto"/>
              <w:right w:val="double" w:sz="6" w:space="0" w:color="auto"/>
            </w:tcBorders>
            <w:shd w:val="clear" w:color="auto" w:fill="auto"/>
            <w:vAlign w:val="center"/>
            <w:hideMark/>
          </w:tcPr>
          <w:p w14:paraId="525B9BA5" w14:textId="77777777" w:rsidR="009E4C20" w:rsidRPr="00F32A1C" w:rsidRDefault="009E4C20" w:rsidP="009E4C20">
            <w:pPr>
              <w:overflowPunct/>
              <w:autoSpaceDE/>
              <w:autoSpaceDN/>
              <w:adjustRightInd/>
              <w:textAlignment w:val="auto"/>
              <w:rPr>
                <w:rFonts w:ascii="Arial" w:hAnsi="Arial" w:cs="Arial"/>
                <w:b/>
                <w:bCs/>
              </w:rPr>
            </w:pPr>
            <w:r w:rsidRPr="00F32A1C">
              <w:rPr>
                <w:rFonts w:ascii="Arial" w:hAnsi="Arial" w:cs="Arial"/>
                <w:b/>
                <w:bCs/>
              </w:rPr>
              <w:t>Staffelprüfung</w:t>
            </w:r>
          </w:p>
        </w:tc>
      </w:tr>
      <w:tr w:rsidR="009E4C20" w:rsidRPr="00F32A1C" w14:paraId="27B81D7D" w14:textId="77777777" w:rsidTr="00E94361">
        <w:trPr>
          <w:trHeight w:val="288"/>
        </w:trPr>
        <w:tc>
          <w:tcPr>
            <w:tcW w:w="6499" w:type="dxa"/>
            <w:gridSpan w:val="5"/>
            <w:tcBorders>
              <w:top w:val="single" w:sz="4" w:space="0" w:color="auto"/>
              <w:left w:val="double" w:sz="6" w:space="0" w:color="auto"/>
              <w:bottom w:val="single" w:sz="4" w:space="0" w:color="auto"/>
              <w:right w:val="double" w:sz="6" w:space="0" w:color="000000"/>
            </w:tcBorders>
            <w:shd w:val="clear" w:color="auto" w:fill="auto"/>
            <w:hideMark/>
          </w:tcPr>
          <w:p w14:paraId="7CDC3A5E" w14:textId="77777777"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 xml:space="preserve"> im 15-jährigen Betrachtungszeitraum (jeweils in %) </w:t>
            </w:r>
          </w:p>
        </w:tc>
      </w:tr>
      <w:tr w:rsidR="00DB0DCB" w:rsidRPr="00F32A1C" w14:paraId="3665C874" w14:textId="77777777" w:rsidTr="00E94361">
        <w:trPr>
          <w:trHeight w:val="288"/>
        </w:trPr>
        <w:tc>
          <w:tcPr>
            <w:tcW w:w="970" w:type="dxa"/>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5D500945" w14:textId="77777777" w:rsidR="009E4C20" w:rsidRPr="00F32A1C" w:rsidRDefault="009E4C20" w:rsidP="009E4C20">
            <w:pPr>
              <w:overflowPunct/>
              <w:autoSpaceDE/>
              <w:autoSpaceDN/>
              <w:adjustRightInd/>
              <w:jc w:val="center"/>
              <w:textAlignment w:val="auto"/>
              <w:rPr>
                <w:rFonts w:ascii="Arial" w:hAnsi="Arial" w:cs="Arial"/>
                <w:b/>
                <w:bCs/>
              </w:rPr>
            </w:pPr>
            <w:r w:rsidRPr="00F32A1C">
              <w:rPr>
                <w:rFonts w:ascii="Arial" w:hAnsi="Arial" w:cs="Arial"/>
                <w:b/>
                <w:bCs/>
              </w:rPr>
              <w:t>2016</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62807322" w14:textId="77777777" w:rsidR="009E4C20" w:rsidRPr="00F32A1C" w:rsidRDefault="009E4C20" w:rsidP="009E4C20">
            <w:pPr>
              <w:overflowPunct/>
              <w:autoSpaceDE/>
              <w:autoSpaceDN/>
              <w:adjustRightInd/>
              <w:jc w:val="center"/>
              <w:textAlignment w:val="auto"/>
              <w:rPr>
                <w:rFonts w:ascii="Arial" w:hAnsi="Arial" w:cs="Arial"/>
              </w:rPr>
            </w:pPr>
            <w:r w:rsidRPr="00F32A1C">
              <w:rPr>
                <w:rFonts w:ascii="Arial" w:hAnsi="Arial" w:cs="Arial"/>
              </w:rPr>
              <w:t>22,65</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74CDBBBC" w14:textId="77777777" w:rsidR="009E4C20" w:rsidRPr="00F32A1C" w:rsidRDefault="009E4C20" w:rsidP="009E4C20">
            <w:pPr>
              <w:overflowPunct/>
              <w:autoSpaceDE/>
              <w:autoSpaceDN/>
              <w:adjustRightInd/>
              <w:jc w:val="center"/>
              <w:textAlignment w:val="auto"/>
              <w:rPr>
                <w:rFonts w:ascii="Arial" w:hAnsi="Arial" w:cs="Arial"/>
              </w:rPr>
            </w:pPr>
            <w:r w:rsidRPr="00F32A1C">
              <w:rPr>
                <w:rFonts w:ascii="Arial" w:hAnsi="Arial" w:cs="Arial"/>
              </w:rPr>
              <w:t>13,59</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14:paraId="13A81A14" w14:textId="77777777" w:rsidR="009E4C20" w:rsidRPr="00F32A1C" w:rsidRDefault="009E4C20" w:rsidP="009E4C20">
            <w:pPr>
              <w:overflowPunct/>
              <w:autoSpaceDE/>
              <w:autoSpaceDN/>
              <w:adjustRightInd/>
              <w:jc w:val="center"/>
              <w:textAlignment w:val="auto"/>
              <w:rPr>
                <w:rFonts w:ascii="Arial" w:hAnsi="Arial" w:cs="Arial"/>
              </w:rPr>
            </w:pPr>
            <w:r w:rsidRPr="00F32A1C">
              <w:rPr>
                <w:rFonts w:ascii="Arial" w:hAnsi="Arial" w:cs="Arial"/>
              </w:rPr>
              <w:t>7,98</w:t>
            </w:r>
          </w:p>
        </w:tc>
        <w:tc>
          <w:tcPr>
            <w:tcW w:w="1843" w:type="dxa"/>
            <w:tcBorders>
              <w:top w:val="single" w:sz="4" w:space="0" w:color="auto"/>
              <w:left w:val="nil"/>
              <w:bottom w:val="double" w:sz="6" w:space="0" w:color="auto"/>
              <w:right w:val="double" w:sz="6" w:space="0" w:color="auto"/>
            </w:tcBorders>
            <w:shd w:val="clear" w:color="auto" w:fill="auto"/>
            <w:noWrap/>
            <w:vAlign w:val="bottom"/>
            <w:hideMark/>
          </w:tcPr>
          <w:p w14:paraId="32FD31A1" w14:textId="77777777" w:rsidR="009E4C20" w:rsidRPr="00F32A1C" w:rsidRDefault="009E4C20" w:rsidP="009E4C20">
            <w:pPr>
              <w:overflowPunct/>
              <w:autoSpaceDE/>
              <w:autoSpaceDN/>
              <w:adjustRightInd/>
              <w:jc w:val="center"/>
              <w:textAlignment w:val="auto"/>
              <w:rPr>
                <w:rFonts w:ascii="Arial" w:hAnsi="Arial" w:cs="Arial"/>
              </w:rPr>
            </w:pPr>
            <w:r w:rsidRPr="00F32A1C">
              <w:rPr>
                <w:rFonts w:ascii="Arial" w:hAnsi="Arial" w:cs="Arial"/>
              </w:rPr>
              <w:t>6,84</w:t>
            </w:r>
          </w:p>
        </w:tc>
      </w:tr>
    </w:tbl>
    <w:p w14:paraId="36984686" w14:textId="0AD64AFD" w:rsidR="005B76E4" w:rsidRDefault="005B76E4" w:rsidP="00AD2C4F">
      <w:pPr>
        <w:overflowPunct/>
        <w:autoSpaceDE/>
        <w:autoSpaceDN/>
        <w:adjustRightInd/>
        <w:spacing w:line="276" w:lineRule="auto"/>
        <w:ind w:left="708"/>
        <w:contextualSpacing/>
        <w:textAlignment w:val="auto"/>
        <w:rPr>
          <w:rFonts w:ascii="Arial" w:eastAsia="Calibri" w:hAnsi="Arial" w:cs="Arial"/>
          <w:sz w:val="24"/>
          <w:szCs w:val="24"/>
          <w:lang w:eastAsia="en-US"/>
        </w:rPr>
      </w:pPr>
    </w:p>
    <w:p w14:paraId="5A078A40" w14:textId="28C307BC" w:rsidR="005B76E4" w:rsidRDefault="009E4C20" w:rsidP="00AD2C4F">
      <w:pPr>
        <w:overflowPunct/>
        <w:autoSpaceDE/>
        <w:autoSpaceDN/>
        <w:adjustRightInd/>
        <w:spacing w:line="276" w:lineRule="auto"/>
        <w:contextualSpacing/>
        <w:textAlignment w:val="auto"/>
        <w:rPr>
          <w:rFonts w:ascii="Arial" w:eastAsia="Calibri" w:hAnsi="Arial" w:cs="Arial"/>
          <w:sz w:val="24"/>
          <w:szCs w:val="24"/>
          <w:lang w:eastAsia="en-US"/>
        </w:rPr>
      </w:pPr>
      <w:r>
        <w:rPr>
          <w:rFonts w:ascii="Arial" w:eastAsia="Calibri" w:hAnsi="Arial" w:cs="Arial"/>
          <w:sz w:val="24"/>
          <w:szCs w:val="24"/>
          <w:lang w:eastAsia="en-US"/>
        </w:rPr>
        <w:t xml:space="preserve">Zusammengefasst ergibt </w:t>
      </w:r>
      <w:r w:rsidR="00D34DFD">
        <w:rPr>
          <w:rFonts w:ascii="Arial" w:eastAsia="Calibri" w:hAnsi="Arial" w:cs="Arial"/>
          <w:sz w:val="24"/>
          <w:szCs w:val="24"/>
          <w:lang w:eastAsia="en-US"/>
        </w:rPr>
        <w:t>die „Spitzausrechnung</w:t>
      </w:r>
      <w:r w:rsidR="00E76482">
        <w:rPr>
          <w:rFonts w:ascii="Arial" w:eastAsia="Calibri" w:hAnsi="Arial" w:cs="Arial"/>
          <w:sz w:val="24"/>
          <w:szCs w:val="24"/>
          <w:lang w:eastAsia="en-US"/>
        </w:rPr>
        <w:t>“ für das Jahr 2016</w:t>
      </w:r>
      <w:r w:rsidR="00D34DFD">
        <w:rPr>
          <w:rFonts w:ascii="Arial" w:eastAsia="Calibri" w:hAnsi="Arial" w:cs="Arial"/>
          <w:sz w:val="24"/>
          <w:szCs w:val="24"/>
          <w:lang w:eastAsia="en-US"/>
        </w:rPr>
        <w:t xml:space="preserve"> das folgende Bild:</w:t>
      </w:r>
    </w:p>
    <w:p w14:paraId="52005540" w14:textId="77777777" w:rsidR="00D34DFD" w:rsidRDefault="00D34DFD" w:rsidP="00AD2C4F">
      <w:pPr>
        <w:overflowPunct/>
        <w:autoSpaceDE/>
        <w:autoSpaceDN/>
        <w:adjustRightInd/>
        <w:spacing w:line="276" w:lineRule="auto"/>
        <w:ind w:left="708"/>
        <w:contextualSpacing/>
        <w:textAlignment w:val="auto"/>
        <w:rPr>
          <w:rFonts w:ascii="Arial" w:eastAsia="Calibri" w:hAnsi="Arial" w:cs="Arial"/>
          <w:sz w:val="24"/>
          <w:szCs w:val="24"/>
          <w:lang w:eastAsia="en-US"/>
        </w:rPr>
      </w:pPr>
    </w:p>
    <w:tbl>
      <w:tblPr>
        <w:tblW w:w="8410" w:type="dxa"/>
        <w:tblInd w:w="801" w:type="dxa"/>
        <w:tblCellMar>
          <w:left w:w="70" w:type="dxa"/>
          <w:right w:w="70" w:type="dxa"/>
        </w:tblCellMar>
        <w:tblLook w:val="04A0" w:firstRow="1" w:lastRow="0" w:firstColumn="1" w:lastColumn="0" w:noHBand="0" w:noVBand="1"/>
      </w:tblPr>
      <w:tblGrid>
        <w:gridCol w:w="1828"/>
        <w:gridCol w:w="1360"/>
        <w:gridCol w:w="1393"/>
        <w:gridCol w:w="1349"/>
        <w:gridCol w:w="1240"/>
        <w:gridCol w:w="1240"/>
      </w:tblGrid>
      <w:tr w:rsidR="00D34DFD" w:rsidRPr="00D34DFD" w14:paraId="423DD2B3" w14:textId="77777777" w:rsidTr="0081331F">
        <w:trPr>
          <w:trHeight w:val="300"/>
        </w:trPr>
        <w:tc>
          <w:tcPr>
            <w:tcW w:w="3188"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3409572" w14:textId="3679912E" w:rsidR="00D34DFD" w:rsidRPr="00F210A5" w:rsidRDefault="00D34DFD" w:rsidP="00D34DFD">
            <w:pPr>
              <w:overflowPunct/>
              <w:autoSpaceDE/>
              <w:autoSpaceDN/>
              <w:adjustRightInd/>
              <w:textAlignment w:val="auto"/>
              <w:rPr>
                <w:rFonts w:ascii="Arial" w:hAnsi="Arial" w:cs="Arial"/>
                <w:color w:val="000000"/>
                <w:sz w:val="22"/>
                <w:szCs w:val="22"/>
              </w:rPr>
            </w:pPr>
            <w:r w:rsidRPr="00F210A5">
              <w:rPr>
                <w:rFonts w:ascii="Arial" w:hAnsi="Arial" w:cs="Arial"/>
                <w:b/>
                <w:bCs/>
                <w:color w:val="000000"/>
                <w:sz w:val="22"/>
                <w:szCs w:val="22"/>
              </w:rPr>
              <w:t>Besoldungsgruppe R1</w:t>
            </w:r>
            <w:r w:rsidRPr="00F210A5">
              <w:rPr>
                <w:rFonts w:ascii="Arial" w:hAnsi="Arial" w:cs="Arial"/>
                <w:color w:val="000000"/>
                <w:sz w:val="22"/>
                <w:szCs w:val="22"/>
              </w:rPr>
              <w:t> </w:t>
            </w:r>
          </w:p>
        </w:tc>
        <w:tc>
          <w:tcPr>
            <w:tcW w:w="1393" w:type="dxa"/>
            <w:tcBorders>
              <w:top w:val="double" w:sz="6" w:space="0" w:color="auto"/>
              <w:left w:val="nil"/>
              <w:bottom w:val="single" w:sz="4" w:space="0" w:color="auto"/>
              <w:right w:val="nil"/>
            </w:tcBorders>
            <w:shd w:val="clear" w:color="auto" w:fill="auto"/>
            <w:noWrap/>
            <w:vAlign w:val="bottom"/>
            <w:hideMark/>
          </w:tcPr>
          <w:p w14:paraId="6FB207B5"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 </w:t>
            </w:r>
          </w:p>
        </w:tc>
        <w:tc>
          <w:tcPr>
            <w:tcW w:w="1349" w:type="dxa"/>
            <w:tcBorders>
              <w:top w:val="double" w:sz="6" w:space="0" w:color="auto"/>
              <w:left w:val="nil"/>
              <w:bottom w:val="single" w:sz="4" w:space="0" w:color="auto"/>
              <w:right w:val="nil"/>
            </w:tcBorders>
            <w:shd w:val="clear" w:color="auto" w:fill="auto"/>
            <w:noWrap/>
            <w:vAlign w:val="bottom"/>
            <w:hideMark/>
          </w:tcPr>
          <w:p w14:paraId="1BDEAE08"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 </w:t>
            </w:r>
          </w:p>
        </w:tc>
        <w:tc>
          <w:tcPr>
            <w:tcW w:w="1240" w:type="dxa"/>
            <w:tcBorders>
              <w:top w:val="double" w:sz="6" w:space="0" w:color="auto"/>
              <w:left w:val="nil"/>
              <w:bottom w:val="single" w:sz="4" w:space="0" w:color="auto"/>
              <w:right w:val="nil"/>
            </w:tcBorders>
            <w:shd w:val="clear" w:color="auto" w:fill="auto"/>
            <w:noWrap/>
            <w:vAlign w:val="bottom"/>
            <w:hideMark/>
          </w:tcPr>
          <w:p w14:paraId="48C72560"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 </w:t>
            </w:r>
          </w:p>
        </w:tc>
        <w:tc>
          <w:tcPr>
            <w:tcW w:w="1240" w:type="dxa"/>
            <w:tcBorders>
              <w:top w:val="double" w:sz="6" w:space="0" w:color="auto"/>
              <w:left w:val="nil"/>
              <w:bottom w:val="single" w:sz="4" w:space="0" w:color="auto"/>
              <w:right w:val="double" w:sz="6" w:space="0" w:color="auto"/>
            </w:tcBorders>
            <w:shd w:val="clear" w:color="auto" w:fill="auto"/>
            <w:noWrap/>
            <w:vAlign w:val="bottom"/>
            <w:hideMark/>
          </w:tcPr>
          <w:p w14:paraId="1AF19DC2"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 </w:t>
            </w:r>
          </w:p>
        </w:tc>
      </w:tr>
      <w:tr w:rsidR="00D34DFD" w:rsidRPr="00D34DFD" w14:paraId="5AD405CC" w14:textId="77777777" w:rsidTr="0081331F">
        <w:trPr>
          <w:trHeight w:val="588"/>
        </w:trPr>
        <w:tc>
          <w:tcPr>
            <w:tcW w:w="1828" w:type="dxa"/>
            <w:tcBorders>
              <w:top w:val="nil"/>
              <w:left w:val="double" w:sz="6" w:space="0" w:color="auto"/>
              <w:bottom w:val="single" w:sz="4" w:space="0" w:color="auto"/>
              <w:right w:val="single" w:sz="4" w:space="0" w:color="auto"/>
            </w:tcBorders>
            <w:shd w:val="clear" w:color="auto" w:fill="auto"/>
            <w:noWrap/>
            <w:vAlign w:val="center"/>
            <w:hideMark/>
          </w:tcPr>
          <w:p w14:paraId="58C8F1D8"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FF2DCFD" w14:textId="77777777" w:rsidR="00D34DFD" w:rsidRPr="00F210A5" w:rsidRDefault="00D34DFD" w:rsidP="00D34DFD">
            <w:pPr>
              <w:overflowPunct/>
              <w:autoSpaceDE/>
              <w:autoSpaceDN/>
              <w:adjustRightInd/>
              <w:jc w:val="center"/>
              <w:textAlignment w:val="auto"/>
              <w:rPr>
                <w:rFonts w:ascii="Arial" w:hAnsi="Arial" w:cs="Arial"/>
                <w:b/>
                <w:bCs/>
                <w:color w:val="000000"/>
                <w:sz w:val="22"/>
                <w:szCs w:val="22"/>
              </w:rPr>
            </w:pPr>
            <w:r w:rsidRPr="00F210A5">
              <w:rPr>
                <w:rFonts w:ascii="Arial" w:hAnsi="Arial" w:cs="Arial"/>
                <w:b/>
                <w:bCs/>
                <w:color w:val="000000"/>
                <w:sz w:val="22"/>
                <w:szCs w:val="22"/>
              </w:rPr>
              <w:t>Tariflohn-entwicklung</w:t>
            </w:r>
          </w:p>
        </w:tc>
        <w:tc>
          <w:tcPr>
            <w:tcW w:w="1393" w:type="dxa"/>
            <w:tcBorders>
              <w:top w:val="nil"/>
              <w:left w:val="nil"/>
              <w:bottom w:val="single" w:sz="4" w:space="0" w:color="auto"/>
              <w:right w:val="single" w:sz="4" w:space="0" w:color="auto"/>
            </w:tcBorders>
            <w:shd w:val="clear" w:color="auto" w:fill="auto"/>
            <w:vAlign w:val="center"/>
            <w:hideMark/>
          </w:tcPr>
          <w:p w14:paraId="13149082" w14:textId="77777777" w:rsidR="00D34DFD" w:rsidRPr="00F210A5" w:rsidRDefault="00D34DFD" w:rsidP="00D34DFD">
            <w:pPr>
              <w:overflowPunct/>
              <w:autoSpaceDE/>
              <w:autoSpaceDN/>
              <w:adjustRightInd/>
              <w:jc w:val="center"/>
              <w:textAlignment w:val="auto"/>
              <w:rPr>
                <w:rFonts w:ascii="Arial" w:hAnsi="Arial" w:cs="Arial"/>
                <w:b/>
                <w:bCs/>
                <w:color w:val="000000"/>
                <w:sz w:val="22"/>
                <w:szCs w:val="22"/>
              </w:rPr>
            </w:pPr>
            <w:r w:rsidRPr="00F210A5">
              <w:rPr>
                <w:rFonts w:ascii="Arial" w:hAnsi="Arial" w:cs="Arial"/>
                <w:b/>
                <w:bCs/>
                <w:color w:val="000000"/>
                <w:sz w:val="22"/>
                <w:szCs w:val="22"/>
              </w:rPr>
              <w:t>Nominallohn-index</w:t>
            </w:r>
          </w:p>
        </w:tc>
        <w:tc>
          <w:tcPr>
            <w:tcW w:w="1349" w:type="dxa"/>
            <w:tcBorders>
              <w:top w:val="nil"/>
              <w:left w:val="nil"/>
              <w:bottom w:val="single" w:sz="4" w:space="0" w:color="auto"/>
              <w:right w:val="single" w:sz="4" w:space="0" w:color="auto"/>
            </w:tcBorders>
            <w:shd w:val="clear" w:color="auto" w:fill="auto"/>
            <w:vAlign w:val="center"/>
            <w:hideMark/>
          </w:tcPr>
          <w:p w14:paraId="16F8805B" w14:textId="138F8BC3" w:rsidR="00D34DFD" w:rsidRPr="00F210A5" w:rsidRDefault="00D34DFD" w:rsidP="00D34DFD">
            <w:pPr>
              <w:overflowPunct/>
              <w:autoSpaceDE/>
              <w:autoSpaceDN/>
              <w:adjustRightInd/>
              <w:jc w:val="center"/>
              <w:textAlignment w:val="auto"/>
              <w:rPr>
                <w:rFonts w:ascii="Arial" w:hAnsi="Arial" w:cs="Arial"/>
                <w:b/>
                <w:bCs/>
                <w:color w:val="000000"/>
                <w:sz w:val="22"/>
                <w:szCs w:val="22"/>
              </w:rPr>
            </w:pPr>
            <w:r w:rsidRPr="00F210A5">
              <w:rPr>
                <w:rFonts w:ascii="Arial" w:hAnsi="Arial" w:cs="Arial"/>
                <w:b/>
                <w:bCs/>
                <w:color w:val="000000"/>
                <w:sz w:val="22"/>
                <w:szCs w:val="22"/>
              </w:rPr>
              <w:t>Verbraucherpreisindex</w:t>
            </w:r>
          </w:p>
        </w:tc>
        <w:tc>
          <w:tcPr>
            <w:tcW w:w="2480" w:type="dxa"/>
            <w:gridSpan w:val="2"/>
            <w:tcBorders>
              <w:top w:val="single" w:sz="4" w:space="0" w:color="auto"/>
              <w:left w:val="nil"/>
              <w:bottom w:val="single" w:sz="4" w:space="0" w:color="auto"/>
              <w:right w:val="double" w:sz="6" w:space="0" w:color="000000"/>
            </w:tcBorders>
            <w:shd w:val="clear" w:color="auto" w:fill="auto"/>
            <w:vAlign w:val="center"/>
            <w:hideMark/>
          </w:tcPr>
          <w:p w14:paraId="5660CE37" w14:textId="748143C8" w:rsidR="00D34DFD" w:rsidRPr="00F210A5" w:rsidRDefault="00D34DFD" w:rsidP="00D34DFD">
            <w:pPr>
              <w:overflowPunct/>
              <w:autoSpaceDE/>
              <w:autoSpaceDN/>
              <w:adjustRightInd/>
              <w:jc w:val="center"/>
              <w:textAlignment w:val="auto"/>
              <w:rPr>
                <w:rFonts w:ascii="Arial" w:hAnsi="Arial" w:cs="Arial"/>
                <w:b/>
                <w:bCs/>
                <w:color w:val="000000"/>
                <w:sz w:val="22"/>
                <w:szCs w:val="22"/>
              </w:rPr>
            </w:pPr>
            <w:r w:rsidRPr="00F210A5">
              <w:rPr>
                <w:rFonts w:ascii="Arial" w:hAnsi="Arial" w:cs="Arial"/>
                <w:b/>
                <w:bCs/>
                <w:color w:val="000000"/>
                <w:sz w:val="22"/>
                <w:szCs w:val="22"/>
              </w:rPr>
              <w:t>Mindestabstands</w:t>
            </w:r>
            <w:r w:rsidR="00405809">
              <w:rPr>
                <w:rFonts w:ascii="Arial" w:hAnsi="Arial" w:cs="Arial"/>
                <w:b/>
                <w:bCs/>
                <w:color w:val="000000"/>
                <w:sz w:val="22"/>
                <w:szCs w:val="22"/>
              </w:rPr>
              <w:t>-</w:t>
            </w:r>
            <w:r w:rsidR="003020C0">
              <w:rPr>
                <w:rFonts w:ascii="Arial" w:hAnsi="Arial" w:cs="Arial"/>
                <w:b/>
                <w:bCs/>
                <w:color w:val="000000"/>
                <w:sz w:val="22"/>
                <w:szCs w:val="22"/>
              </w:rPr>
              <w:t xml:space="preserve"> </w:t>
            </w:r>
            <w:r w:rsidRPr="00F210A5">
              <w:rPr>
                <w:rFonts w:ascii="Arial" w:hAnsi="Arial" w:cs="Arial"/>
                <w:b/>
                <w:bCs/>
                <w:color w:val="000000"/>
                <w:sz w:val="22"/>
                <w:szCs w:val="22"/>
              </w:rPr>
              <w:t>g</w:t>
            </w:r>
            <w:r w:rsidR="00405809">
              <w:rPr>
                <w:rFonts w:ascii="Arial" w:hAnsi="Arial" w:cs="Arial"/>
                <w:b/>
                <w:bCs/>
                <w:color w:val="000000"/>
                <w:sz w:val="22"/>
                <w:szCs w:val="22"/>
              </w:rPr>
              <w:t>e</w:t>
            </w:r>
            <w:r w:rsidRPr="00F210A5">
              <w:rPr>
                <w:rFonts w:ascii="Arial" w:hAnsi="Arial" w:cs="Arial"/>
                <w:b/>
                <w:bCs/>
                <w:color w:val="000000"/>
                <w:sz w:val="22"/>
                <w:szCs w:val="22"/>
              </w:rPr>
              <w:t>bot</w:t>
            </w:r>
          </w:p>
        </w:tc>
      </w:tr>
      <w:tr w:rsidR="00D34DFD" w:rsidRPr="00D34DFD" w14:paraId="124EA507" w14:textId="77777777" w:rsidTr="0081331F">
        <w:trPr>
          <w:trHeight w:val="288"/>
        </w:trPr>
        <w:tc>
          <w:tcPr>
            <w:tcW w:w="1828" w:type="dxa"/>
            <w:tcBorders>
              <w:top w:val="single" w:sz="4" w:space="0" w:color="auto"/>
              <w:left w:val="double" w:sz="6" w:space="0" w:color="auto"/>
              <w:bottom w:val="double" w:sz="6" w:space="0" w:color="auto"/>
              <w:right w:val="single" w:sz="4" w:space="0" w:color="auto"/>
            </w:tcBorders>
            <w:shd w:val="clear" w:color="000000" w:fill="D9D9D9"/>
            <w:noWrap/>
            <w:vAlign w:val="bottom"/>
            <w:hideMark/>
          </w:tcPr>
          <w:p w14:paraId="12EF3994" w14:textId="77777777" w:rsidR="00D34DFD" w:rsidRPr="00F210A5" w:rsidRDefault="00D34DFD" w:rsidP="00D34DFD">
            <w:pPr>
              <w:overflowPunct/>
              <w:autoSpaceDE/>
              <w:autoSpaceDN/>
              <w:adjustRightInd/>
              <w:jc w:val="center"/>
              <w:textAlignment w:val="auto"/>
              <w:rPr>
                <w:rFonts w:ascii="Arial" w:hAnsi="Arial" w:cs="Arial"/>
                <w:b/>
                <w:bCs/>
                <w:color w:val="000000"/>
                <w:sz w:val="22"/>
                <w:szCs w:val="22"/>
              </w:rPr>
            </w:pPr>
            <w:r w:rsidRPr="00F210A5">
              <w:rPr>
                <w:rFonts w:ascii="Arial" w:hAnsi="Arial" w:cs="Arial"/>
                <w:b/>
                <w:bCs/>
                <w:color w:val="000000"/>
                <w:sz w:val="22"/>
                <w:szCs w:val="22"/>
              </w:rPr>
              <w:t>2016</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14:paraId="7E80ADC4"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sz w:val="22"/>
                <w:szCs w:val="22"/>
              </w:rPr>
              <w:t>13,26</w:t>
            </w:r>
          </w:p>
        </w:tc>
        <w:tc>
          <w:tcPr>
            <w:tcW w:w="1393" w:type="dxa"/>
            <w:tcBorders>
              <w:top w:val="single" w:sz="4" w:space="0" w:color="auto"/>
              <w:left w:val="nil"/>
              <w:bottom w:val="double" w:sz="6" w:space="0" w:color="auto"/>
              <w:right w:val="single" w:sz="4" w:space="0" w:color="auto"/>
            </w:tcBorders>
            <w:shd w:val="clear" w:color="auto" w:fill="auto"/>
            <w:noWrap/>
            <w:vAlign w:val="bottom"/>
            <w:hideMark/>
          </w:tcPr>
          <w:p w14:paraId="29973197"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8,53</w:t>
            </w:r>
          </w:p>
        </w:tc>
        <w:tc>
          <w:tcPr>
            <w:tcW w:w="1349" w:type="dxa"/>
            <w:tcBorders>
              <w:top w:val="single" w:sz="4" w:space="0" w:color="auto"/>
              <w:left w:val="nil"/>
              <w:bottom w:val="double" w:sz="6" w:space="0" w:color="auto"/>
              <w:right w:val="single" w:sz="4" w:space="0" w:color="auto"/>
            </w:tcBorders>
            <w:shd w:val="clear" w:color="auto" w:fill="auto"/>
            <w:noWrap/>
            <w:vAlign w:val="bottom"/>
            <w:hideMark/>
          </w:tcPr>
          <w:p w14:paraId="28562B39" w14:textId="77777777" w:rsidR="00D34DFD" w:rsidRPr="00F210A5" w:rsidRDefault="00D34DFD" w:rsidP="00D34DFD">
            <w:pPr>
              <w:overflowPunct/>
              <w:autoSpaceDE/>
              <w:autoSpaceDN/>
              <w:adjustRightInd/>
              <w:jc w:val="center"/>
              <w:textAlignment w:val="auto"/>
              <w:rPr>
                <w:rFonts w:ascii="Arial" w:hAnsi="Arial" w:cs="Arial"/>
                <w:color w:val="000000"/>
                <w:sz w:val="22"/>
                <w:szCs w:val="22"/>
              </w:rPr>
            </w:pPr>
            <w:r w:rsidRPr="00F210A5">
              <w:rPr>
                <w:rFonts w:ascii="Arial" w:hAnsi="Arial" w:cs="Arial"/>
                <w:color w:val="000000"/>
                <w:sz w:val="22"/>
                <w:szCs w:val="22"/>
              </w:rPr>
              <w:t>7,98</w:t>
            </w:r>
          </w:p>
        </w:tc>
        <w:tc>
          <w:tcPr>
            <w:tcW w:w="1240" w:type="dxa"/>
            <w:tcBorders>
              <w:top w:val="single" w:sz="4" w:space="0" w:color="auto"/>
              <w:left w:val="nil"/>
              <w:bottom w:val="double" w:sz="6" w:space="0" w:color="auto"/>
              <w:right w:val="nil"/>
            </w:tcBorders>
            <w:shd w:val="clear" w:color="auto" w:fill="auto"/>
            <w:noWrap/>
            <w:vAlign w:val="bottom"/>
            <w:hideMark/>
          </w:tcPr>
          <w:p w14:paraId="0CC4FA7C" w14:textId="77777777" w:rsidR="00D34DFD" w:rsidRPr="006E4A1E" w:rsidRDefault="00D34DFD" w:rsidP="00D34DFD">
            <w:pPr>
              <w:overflowPunct/>
              <w:autoSpaceDE/>
              <w:autoSpaceDN/>
              <w:adjustRightInd/>
              <w:jc w:val="center"/>
              <w:textAlignment w:val="auto"/>
              <w:rPr>
                <w:rFonts w:ascii="Arial" w:hAnsi="Arial" w:cs="Arial"/>
                <w:sz w:val="22"/>
                <w:szCs w:val="22"/>
              </w:rPr>
            </w:pPr>
            <w:r w:rsidRPr="006E4A1E">
              <w:rPr>
                <w:rFonts w:ascii="Arial" w:hAnsi="Arial" w:cs="Arial"/>
                <w:sz w:val="22"/>
                <w:szCs w:val="22"/>
              </w:rPr>
              <w:t>verletzt</w:t>
            </w:r>
          </w:p>
        </w:tc>
        <w:tc>
          <w:tcPr>
            <w:tcW w:w="1240" w:type="dxa"/>
            <w:tcBorders>
              <w:top w:val="single" w:sz="4" w:space="0" w:color="auto"/>
              <w:left w:val="nil"/>
              <w:bottom w:val="double" w:sz="6" w:space="0" w:color="auto"/>
              <w:right w:val="double" w:sz="6" w:space="0" w:color="auto"/>
            </w:tcBorders>
            <w:shd w:val="clear" w:color="auto" w:fill="auto"/>
            <w:noWrap/>
            <w:vAlign w:val="bottom"/>
            <w:hideMark/>
          </w:tcPr>
          <w:p w14:paraId="7BCA132D" w14:textId="63B0C6D5" w:rsidR="00D34DFD" w:rsidRPr="006E4A1E" w:rsidRDefault="00D34DFD" w:rsidP="00D34DFD">
            <w:pPr>
              <w:overflowPunct/>
              <w:autoSpaceDE/>
              <w:autoSpaceDN/>
              <w:adjustRightInd/>
              <w:jc w:val="center"/>
              <w:textAlignment w:val="auto"/>
              <w:rPr>
                <w:rFonts w:ascii="Arial" w:hAnsi="Arial" w:cs="Arial"/>
                <w:sz w:val="22"/>
                <w:szCs w:val="22"/>
              </w:rPr>
            </w:pPr>
            <w:r w:rsidRPr="006E4A1E">
              <w:rPr>
                <w:rFonts w:ascii="Arial" w:hAnsi="Arial" w:cs="Arial"/>
                <w:sz w:val="22"/>
                <w:szCs w:val="22"/>
              </w:rPr>
              <w:t>2</w:t>
            </w:r>
            <w:r w:rsidR="00A74F42">
              <w:rPr>
                <w:rFonts w:ascii="Arial" w:hAnsi="Arial" w:cs="Arial"/>
                <w:sz w:val="22"/>
                <w:szCs w:val="22"/>
              </w:rPr>
              <w:t>8</w:t>
            </w:r>
            <w:r w:rsidRPr="006E4A1E">
              <w:rPr>
                <w:rFonts w:ascii="Arial" w:hAnsi="Arial" w:cs="Arial"/>
                <w:sz w:val="22"/>
                <w:szCs w:val="22"/>
              </w:rPr>
              <w:t>/</w:t>
            </w:r>
            <w:r w:rsidR="00A74F42">
              <w:rPr>
                <w:rFonts w:ascii="Arial" w:hAnsi="Arial" w:cs="Arial"/>
                <w:sz w:val="22"/>
                <w:szCs w:val="22"/>
              </w:rPr>
              <w:t>30</w:t>
            </w:r>
          </w:p>
        </w:tc>
      </w:tr>
    </w:tbl>
    <w:p w14:paraId="6E885764" w14:textId="7F8D9474" w:rsidR="009E4C20" w:rsidRDefault="009E4C20" w:rsidP="00AD2C4F">
      <w:pPr>
        <w:overflowPunct/>
        <w:autoSpaceDE/>
        <w:autoSpaceDN/>
        <w:adjustRightInd/>
        <w:spacing w:line="276" w:lineRule="auto"/>
        <w:ind w:left="708"/>
        <w:contextualSpacing/>
        <w:textAlignment w:val="auto"/>
        <w:rPr>
          <w:rFonts w:ascii="Arial" w:eastAsia="Calibri" w:hAnsi="Arial" w:cs="Arial"/>
          <w:sz w:val="24"/>
          <w:szCs w:val="24"/>
          <w:lang w:eastAsia="en-US"/>
        </w:rPr>
      </w:pPr>
    </w:p>
    <w:p w14:paraId="7F627DED" w14:textId="6FE931D7" w:rsidR="003239E1" w:rsidRPr="00D869A5" w:rsidRDefault="00E76482" w:rsidP="006F47CF">
      <w:pPr>
        <w:overflowPunct/>
        <w:autoSpaceDE/>
        <w:autoSpaceDN/>
        <w:adjustRightInd/>
        <w:spacing w:line="276" w:lineRule="auto"/>
        <w:jc w:val="both"/>
        <w:textAlignment w:val="auto"/>
        <w:rPr>
          <w:rFonts w:ascii="Arial" w:eastAsia="Calibri" w:hAnsi="Arial" w:cs="Arial"/>
          <w:sz w:val="24"/>
          <w:szCs w:val="24"/>
          <w:lang w:eastAsia="en-US"/>
        </w:rPr>
      </w:pPr>
      <w:r w:rsidRPr="00D869A5">
        <w:rPr>
          <w:rFonts w:ascii="Arial" w:eastAsia="Calibri" w:hAnsi="Arial" w:cs="Arial"/>
          <w:sz w:val="24"/>
          <w:szCs w:val="24"/>
          <w:lang w:eastAsia="en-US"/>
        </w:rPr>
        <w:t>Diese Betrachtung zeigt</w:t>
      </w:r>
      <w:r w:rsidR="003239E1" w:rsidRPr="00D869A5">
        <w:rPr>
          <w:rFonts w:ascii="Arial" w:eastAsia="Calibri" w:hAnsi="Arial" w:cs="Arial"/>
          <w:sz w:val="24"/>
          <w:szCs w:val="24"/>
          <w:lang w:eastAsia="en-US"/>
        </w:rPr>
        <w:t>, das</w:t>
      </w:r>
      <w:r w:rsidR="00FB3624" w:rsidRPr="00D869A5">
        <w:rPr>
          <w:rFonts w:ascii="Arial" w:eastAsia="Calibri" w:hAnsi="Arial" w:cs="Arial"/>
          <w:sz w:val="24"/>
          <w:szCs w:val="24"/>
          <w:lang w:eastAsia="en-US"/>
        </w:rPr>
        <w:t>s</w:t>
      </w:r>
      <w:r w:rsidR="003239E1" w:rsidRPr="00D869A5">
        <w:rPr>
          <w:rFonts w:ascii="Arial" w:eastAsia="Calibri" w:hAnsi="Arial" w:cs="Arial"/>
          <w:sz w:val="24"/>
          <w:szCs w:val="24"/>
          <w:lang w:eastAsia="en-US"/>
        </w:rPr>
        <w:t xml:space="preserve"> </w:t>
      </w:r>
      <w:r w:rsidR="00FB3624" w:rsidRPr="00D869A5">
        <w:rPr>
          <w:rFonts w:ascii="Arial" w:eastAsia="Calibri" w:hAnsi="Arial" w:cs="Arial"/>
          <w:sz w:val="24"/>
          <w:szCs w:val="24"/>
          <w:lang w:eastAsia="en-US"/>
        </w:rPr>
        <w:t>im Jahr 201</w:t>
      </w:r>
      <w:r w:rsidR="00B7796B" w:rsidRPr="00D869A5">
        <w:rPr>
          <w:rFonts w:ascii="Arial" w:eastAsia="Calibri" w:hAnsi="Arial" w:cs="Arial"/>
          <w:sz w:val="24"/>
          <w:szCs w:val="24"/>
          <w:lang w:eastAsia="en-US"/>
        </w:rPr>
        <w:t>6</w:t>
      </w:r>
      <w:r w:rsidR="00FB3624" w:rsidRPr="00D869A5">
        <w:rPr>
          <w:rFonts w:ascii="Arial" w:eastAsia="Calibri" w:hAnsi="Arial" w:cs="Arial"/>
          <w:sz w:val="24"/>
          <w:szCs w:val="24"/>
          <w:lang w:eastAsia="en-US"/>
        </w:rPr>
        <w:t xml:space="preserve"> </w:t>
      </w:r>
      <w:r w:rsidR="003239E1" w:rsidRPr="00D869A5">
        <w:rPr>
          <w:rFonts w:ascii="Arial" w:eastAsia="Calibri" w:hAnsi="Arial" w:cs="Arial"/>
          <w:sz w:val="24"/>
          <w:szCs w:val="24"/>
          <w:lang w:eastAsia="en-US"/>
        </w:rPr>
        <w:t xml:space="preserve">sowohl die Abweichung von der Tariflohnentwicklung als auch diejenige vom </w:t>
      </w:r>
      <w:r w:rsidR="00FB3624" w:rsidRPr="00D869A5">
        <w:rPr>
          <w:rFonts w:ascii="Arial" w:eastAsia="Calibri" w:hAnsi="Arial" w:cs="Arial"/>
          <w:sz w:val="24"/>
          <w:szCs w:val="24"/>
          <w:lang w:eastAsia="en-US"/>
        </w:rPr>
        <w:t xml:space="preserve">Nominallohnindex und </w:t>
      </w:r>
      <w:r w:rsidR="003239E1" w:rsidRPr="00D869A5">
        <w:rPr>
          <w:rFonts w:ascii="Arial" w:eastAsia="Calibri" w:hAnsi="Arial" w:cs="Arial"/>
          <w:sz w:val="24"/>
          <w:szCs w:val="24"/>
          <w:lang w:eastAsia="en-US"/>
        </w:rPr>
        <w:t>Verbraucherpreisindex sehr deutlich über dem Schwellenwert von 5 % lieg</w:t>
      </w:r>
      <w:r w:rsidR="00F561EB">
        <w:rPr>
          <w:rFonts w:ascii="Arial" w:eastAsia="Calibri" w:hAnsi="Arial" w:cs="Arial"/>
          <w:sz w:val="24"/>
          <w:szCs w:val="24"/>
          <w:lang w:eastAsia="en-US"/>
        </w:rPr>
        <w:t>t</w:t>
      </w:r>
      <w:r w:rsidR="003239E1" w:rsidRPr="00D869A5">
        <w:rPr>
          <w:rFonts w:ascii="Arial" w:eastAsia="Calibri" w:hAnsi="Arial" w:cs="Arial"/>
          <w:sz w:val="24"/>
          <w:szCs w:val="24"/>
          <w:lang w:eastAsia="en-US"/>
        </w:rPr>
        <w:t xml:space="preserve">. </w:t>
      </w:r>
    </w:p>
    <w:p w14:paraId="7EF61097" w14:textId="77777777" w:rsidR="003239E1" w:rsidRPr="00A74F42" w:rsidRDefault="003239E1" w:rsidP="006F47CF">
      <w:pPr>
        <w:overflowPunct/>
        <w:autoSpaceDE/>
        <w:autoSpaceDN/>
        <w:adjustRightInd/>
        <w:spacing w:line="276" w:lineRule="auto"/>
        <w:contextualSpacing/>
        <w:jc w:val="both"/>
        <w:textAlignment w:val="auto"/>
        <w:rPr>
          <w:rFonts w:ascii="Arial" w:eastAsia="Calibri" w:hAnsi="Arial" w:cs="Arial"/>
          <w:color w:val="00B050"/>
          <w:sz w:val="24"/>
          <w:szCs w:val="24"/>
          <w:lang w:eastAsia="en-US"/>
        </w:rPr>
      </w:pPr>
    </w:p>
    <w:p w14:paraId="40E7648C" w14:textId="79AD414E" w:rsidR="003239E1" w:rsidRDefault="003239E1" w:rsidP="006F47CF">
      <w:pPr>
        <w:overflowPunct/>
        <w:autoSpaceDE/>
        <w:autoSpaceDN/>
        <w:adjustRightInd/>
        <w:spacing w:line="276" w:lineRule="auto"/>
        <w:jc w:val="both"/>
        <w:textAlignment w:val="auto"/>
        <w:rPr>
          <w:rFonts w:ascii="Arial" w:eastAsia="Calibri" w:hAnsi="Arial" w:cs="Arial"/>
          <w:sz w:val="24"/>
          <w:szCs w:val="24"/>
          <w:lang w:eastAsia="en-US"/>
        </w:rPr>
      </w:pPr>
      <w:r w:rsidRPr="00A74F42">
        <w:rPr>
          <w:rFonts w:ascii="Arial" w:eastAsia="Calibri" w:hAnsi="Arial" w:cs="Arial"/>
          <w:color w:val="00B050"/>
          <w:sz w:val="24"/>
          <w:szCs w:val="24"/>
          <w:lang w:eastAsia="en-US"/>
        </w:rPr>
        <w:t>Diese Ergebnisse lassen sich auf die Besoldungsgruppe R 2 übertragen. Denn bei diese</w:t>
      </w:r>
      <w:r w:rsidR="00B7796B" w:rsidRPr="00A74F42">
        <w:rPr>
          <w:rFonts w:ascii="Arial" w:eastAsia="Calibri" w:hAnsi="Arial" w:cs="Arial"/>
          <w:color w:val="00B050"/>
          <w:sz w:val="24"/>
          <w:szCs w:val="24"/>
          <w:lang w:eastAsia="en-US"/>
        </w:rPr>
        <w:t>r</w:t>
      </w:r>
      <w:r w:rsidRPr="00A74F42">
        <w:rPr>
          <w:rFonts w:ascii="Arial" w:eastAsia="Calibri" w:hAnsi="Arial" w:cs="Arial"/>
          <w:color w:val="00B050"/>
          <w:sz w:val="24"/>
          <w:szCs w:val="24"/>
          <w:lang w:eastAsia="en-US"/>
        </w:rPr>
        <w:t xml:space="preserve"> Besoldungsgruppe blieb die Besoldungssteigerung hinter der in der Besoldungsgruppe R 1 zurück, weil sich die Kürzung der Sonderzahlung im Jahr 2003 stärker auswirkte und die </w:t>
      </w:r>
      <w:r w:rsidRPr="00A74F42">
        <w:rPr>
          <w:rFonts w:ascii="Arial" w:eastAsia="Calibri" w:hAnsi="Arial" w:cs="Arial"/>
          <w:color w:val="00B050"/>
          <w:sz w:val="24"/>
          <w:szCs w:val="24"/>
          <w:lang w:eastAsia="en-US"/>
        </w:rPr>
        <w:lastRenderedPageBreak/>
        <w:t xml:space="preserve">Überführung in die neue Besoldungstabelle im Jahr 2011 mit einer prozentual geringeren Besoldungserhöhung einherging. </w:t>
      </w:r>
      <w:r w:rsidRPr="00D869A5">
        <w:rPr>
          <w:rFonts w:ascii="Arial" w:eastAsia="Calibri" w:hAnsi="Arial" w:cs="Arial"/>
          <w:sz w:val="24"/>
          <w:szCs w:val="24"/>
          <w:lang w:eastAsia="en-US"/>
        </w:rPr>
        <w:t>Auch i</w:t>
      </w:r>
      <w:r w:rsidR="00542392" w:rsidRPr="00D869A5">
        <w:rPr>
          <w:rFonts w:ascii="Arial" w:eastAsia="Calibri" w:hAnsi="Arial" w:cs="Arial"/>
          <w:sz w:val="24"/>
          <w:szCs w:val="24"/>
          <w:lang w:eastAsia="en-US"/>
        </w:rPr>
        <w:t>m</w:t>
      </w:r>
      <w:r w:rsidRPr="00D869A5">
        <w:rPr>
          <w:rFonts w:ascii="Arial" w:eastAsia="Calibri" w:hAnsi="Arial" w:cs="Arial"/>
          <w:sz w:val="24"/>
          <w:szCs w:val="24"/>
          <w:lang w:eastAsia="en-US"/>
        </w:rPr>
        <w:t xml:space="preserve"> Jahr 201</w:t>
      </w:r>
      <w:r w:rsidR="00542392" w:rsidRPr="00D869A5">
        <w:rPr>
          <w:rFonts w:ascii="Arial" w:eastAsia="Calibri" w:hAnsi="Arial" w:cs="Arial"/>
          <w:sz w:val="24"/>
          <w:szCs w:val="24"/>
          <w:lang w:eastAsia="en-US"/>
        </w:rPr>
        <w:t>6</w:t>
      </w:r>
      <w:r w:rsidRPr="00D869A5">
        <w:rPr>
          <w:rFonts w:ascii="Arial" w:eastAsia="Calibri" w:hAnsi="Arial" w:cs="Arial"/>
          <w:sz w:val="24"/>
          <w:szCs w:val="24"/>
          <w:lang w:eastAsia="en-US"/>
        </w:rPr>
        <w:t xml:space="preserve"> sind folglich für alle Besoldungsgruppen (mindestens) drei Parameter erfüllt. Die Staffelprüfungen geben keinen Anlass zu einer abweichenden Beurteilung.</w:t>
      </w:r>
    </w:p>
    <w:p w14:paraId="25D7B86E" w14:textId="77777777" w:rsidR="00DA4E2E" w:rsidRDefault="00DA4E2E" w:rsidP="00D869A5">
      <w:pPr>
        <w:overflowPunct/>
        <w:autoSpaceDE/>
        <w:autoSpaceDN/>
        <w:adjustRightInd/>
        <w:spacing w:line="276" w:lineRule="auto"/>
        <w:ind w:left="360"/>
        <w:jc w:val="both"/>
        <w:textAlignment w:val="auto"/>
        <w:rPr>
          <w:rFonts w:ascii="Arial" w:eastAsia="Calibri" w:hAnsi="Arial" w:cs="Arial"/>
          <w:sz w:val="24"/>
          <w:szCs w:val="24"/>
          <w:lang w:eastAsia="en-US"/>
        </w:rPr>
      </w:pPr>
    </w:p>
    <w:p w14:paraId="40B88545" w14:textId="2A15C37A" w:rsidR="0051435E" w:rsidRDefault="006C18F6"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bb) </w:t>
      </w:r>
      <w:r w:rsidR="0044770C">
        <w:rPr>
          <w:rFonts w:ascii="Arial" w:eastAsia="Calibri" w:hAnsi="Arial" w:cs="Arial"/>
          <w:sz w:val="24"/>
          <w:szCs w:val="24"/>
          <w:lang w:eastAsia="en-US"/>
        </w:rPr>
        <w:t xml:space="preserve">In die Gesamtabwägung hat ferner einzufließen, </w:t>
      </w:r>
      <w:r w:rsidR="00C25465">
        <w:rPr>
          <w:rFonts w:ascii="Arial" w:eastAsia="Calibri" w:hAnsi="Arial" w:cs="Arial"/>
          <w:sz w:val="24"/>
          <w:szCs w:val="24"/>
          <w:lang w:eastAsia="en-US"/>
        </w:rPr>
        <w:t xml:space="preserve">dass </w:t>
      </w:r>
      <w:r w:rsidR="006F47CF">
        <w:rPr>
          <w:rFonts w:ascii="Arial" w:eastAsia="Calibri" w:hAnsi="Arial" w:cs="Arial"/>
          <w:sz w:val="24"/>
          <w:szCs w:val="24"/>
          <w:lang w:eastAsia="en-US"/>
        </w:rPr>
        <w:t>d</w:t>
      </w:r>
      <w:r w:rsidR="0051435E">
        <w:rPr>
          <w:rFonts w:ascii="Arial" w:eastAsia="Calibri" w:hAnsi="Arial" w:cs="Arial"/>
          <w:sz w:val="24"/>
          <w:szCs w:val="24"/>
          <w:lang w:eastAsia="en-US"/>
        </w:rPr>
        <w:t xml:space="preserve">as Land Berlin bei seiner auf den Streitgegenstand der Entscheidung des </w:t>
      </w:r>
      <w:r w:rsidR="00B86F39">
        <w:rPr>
          <w:rFonts w:ascii="Arial" w:eastAsia="Calibri" w:hAnsi="Arial" w:cs="Arial"/>
          <w:sz w:val="24"/>
          <w:szCs w:val="24"/>
          <w:lang w:eastAsia="en-US"/>
        </w:rPr>
        <w:t xml:space="preserve">Bundesverfassungsgerichts </w:t>
      </w:r>
      <w:r w:rsidR="0051435E">
        <w:rPr>
          <w:rFonts w:ascii="Arial" w:eastAsia="Calibri" w:hAnsi="Arial" w:cs="Arial"/>
          <w:sz w:val="24"/>
          <w:szCs w:val="24"/>
          <w:lang w:eastAsia="en-US"/>
        </w:rPr>
        <w:t xml:space="preserve">beschränkten </w:t>
      </w:r>
      <w:r w:rsidR="00A01833">
        <w:rPr>
          <w:rFonts w:ascii="Arial" w:eastAsia="Calibri" w:hAnsi="Arial" w:cs="Arial"/>
          <w:sz w:val="24"/>
          <w:szCs w:val="24"/>
          <w:lang w:eastAsia="en-US"/>
        </w:rPr>
        <w:t>Reparatur der Besoldung für die Jahre bis 2015</w:t>
      </w:r>
      <w:r w:rsidR="0051435E">
        <w:rPr>
          <w:rFonts w:ascii="Arial" w:eastAsia="Calibri" w:hAnsi="Arial" w:cs="Arial"/>
          <w:sz w:val="24"/>
          <w:szCs w:val="24"/>
          <w:lang w:eastAsia="en-US"/>
        </w:rPr>
        <w:t xml:space="preserve"> in Kauf genommen</w:t>
      </w:r>
      <w:r w:rsidR="00825000">
        <w:rPr>
          <w:rFonts w:ascii="Arial" w:eastAsia="Calibri" w:hAnsi="Arial" w:cs="Arial"/>
          <w:sz w:val="24"/>
          <w:szCs w:val="24"/>
          <w:lang w:eastAsia="en-US"/>
        </w:rPr>
        <w:t xml:space="preserve"> hat</w:t>
      </w:r>
      <w:r w:rsidR="0051435E">
        <w:rPr>
          <w:rFonts w:ascii="Arial" w:eastAsia="Calibri" w:hAnsi="Arial" w:cs="Arial"/>
          <w:sz w:val="24"/>
          <w:szCs w:val="24"/>
          <w:lang w:eastAsia="en-US"/>
        </w:rPr>
        <w:t xml:space="preserve">, dass sich für das Jahr 2016 gegenüber dem Jahr 2015 eine Absenkung der Bezüge um 2,23 (für R 1) bzw. 2,37 (für R 2) </w:t>
      </w:r>
      <w:r w:rsidR="00FD30B1">
        <w:rPr>
          <w:rFonts w:ascii="Arial" w:eastAsia="Calibri" w:hAnsi="Arial" w:cs="Arial"/>
          <w:sz w:val="24"/>
          <w:szCs w:val="24"/>
          <w:lang w:eastAsia="en-US"/>
        </w:rPr>
        <w:t xml:space="preserve">ergibt. </w:t>
      </w:r>
      <w:r w:rsidR="0044770C">
        <w:rPr>
          <w:rFonts w:ascii="Arial" w:eastAsia="Calibri" w:hAnsi="Arial" w:cs="Arial"/>
          <w:sz w:val="24"/>
          <w:szCs w:val="24"/>
          <w:lang w:eastAsia="en-US"/>
        </w:rPr>
        <w:t xml:space="preserve">Diese Absenkung ist nicht zu rechtfertigen. </w:t>
      </w:r>
    </w:p>
    <w:p w14:paraId="01DD8163" w14:textId="77777777" w:rsidR="0051435E" w:rsidRDefault="0051435E"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9B953DC" w14:textId="30AAF442" w:rsidR="0051435E" w:rsidRDefault="0051435E"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Berücksichtigt man die Erhöhungen für die Jahre bis 2015, welche aus dem Gesetz über die rückwirkende Herstellung verfassungskonformer Regelungen hinsichtlich der Besoldung in den Besoldungsgruppen R</w:t>
      </w:r>
      <w:r w:rsidR="008E5678">
        <w:rPr>
          <w:rFonts w:ascii="Arial" w:eastAsia="Calibri" w:hAnsi="Arial" w:cs="Arial"/>
          <w:sz w:val="24"/>
          <w:szCs w:val="24"/>
          <w:lang w:eastAsia="en-US"/>
        </w:rPr>
        <w:t xml:space="preserve"> </w:t>
      </w:r>
      <w:r>
        <w:rPr>
          <w:rFonts w:ascii="Arial" w:eastAsia="Calibri" w:hAnsi="Arial" w:cs="Arial"/>
          <w:sz w:val="24"/>
          <w:szCs w:val="24"/>
          <w:lang w:eastAsia="en-US"/>
        </w:rPr>
        <w:t>1 und R</w:t>
      </w:r>
      <w:r w:rsidR="008E5678">
        <w:rPr>
          <w:rFonts w:ascii="Arial" w:eastAsia="Calibri" w:hAnsi="Arial" w:cs="Arial"/>
          <w:sz w:val="24"/>
          <w:szCs w:val="24"/>
          <w:lang w:eastAsia="en-US"/>
        </w:rPr>
        <w:t xml:space="preserve"> </w:t>
      </w:r>
      <w:r>
        <w:rPr>
          <w:rFonts w:ascii="Arial" w:eastAsia="Calibri" w:hAnsi="Arial" w:cs="Arial"/>
          <w:sz w:val="24"/>
          <w:szCs w:val="24"/>
          <w:lang w:eastAsia="en-US"/>
        </w:rPr>
        <w:t>2 in den Jahren 2009 bis 2015 und der Besoldungsgruppe R 3 im Jahr 2015 vom 23. Juni 2021 folgen, ergeben sich die vorgenannten Absenkungen in der Besoldung für das Jahr 2016:</w:t>
      </w:r>
    </w:p>
    <w:p w14:paraId="45D2EECC" w14:textId="77777777" w:rsidR="0051435E" w:rsidRDefault="0051435E" w:rsidP="0051435E">
      <w:pPr>
        <w:overflowPunct/>
        <w:autoSpaceDE/>
        <w:autoSpaceDN/>
        <w:adjustRightInd/>
        <w:spacing w:line="276" w:lineRule="auto"/>
        <w:ind w:left="708"/>
        <w:contextualSpacing/>
        <w:jc w:val="both"/>
        <w:textAlignment w:val="auto"/>
        <w:rPr>
          <w:rFonts w:ascii="Arial" w:eastAsia="Calibri" w:hAnsi="Arial" w:cs="Arial"/>
          <w:sz w:val="24"/>
          <w:szCs w:val="24"/>
          <w:lang w:eastAsia="en-US"/>
        </w:rPr>
      </w:pPr>
    </w:p>
    <w:p w14:paraId="516444DB" w14:textId="77777777" w:rsidR="00DC7DDB" w:rsidRDefault="00DC7DDB" w:rsidP="0051435E">
      <w:pPr>
        <w:overflowPunct/>
        <w:autoSpaceDE/>
        <w:autoSpaceDN/>
        <w:adjustRightInd/>
        <w:spacing w:line="276" w:lineRule="auto"/>
        <w:ind w:left="708"/>
        <w:contextualSpacing/>
        <w:jc w:val="both"/>
        <w:textAlignment w:val="auto"/>
        <w:rPr>
          <w:rFonts w:ascii="Arial" w:eastAsia="Calibri" w:hAnsi="Arial" w:cs="Arial"/>
          <w:sz w:val="24"/>
          <w:szCs w:val="24"/>
          <w:lang w:eastAsia="en-US"/>
        </w:rPr>
      </w:pPr>
    </w:p>
    <w:tbl>
      <w:tblPr>
        <w:tblW w:w="6356" w:type="dxa"/>
        <w:tblInd w:w="801" w:type="dxa"/>
        <w:tblCellMar>
          <w:left w:w="70" w:type="dxa"/>
          <w:right w:w="70" w:type="dxa"/>
        </w:tblCellMar>
        <w:tblLook w:val="04A0" w:firstRow="1" w:lastRow="0" w:firstColumn="1" w:lastColumn="0" w:noHBand="0" w:noVBand="1"/>
      </w:tblPr>
      <w:tblGrid>
        <w:gridCol w:w="1620"/>
        <w:gridCol w:w="1231"/>
        <w:gridCol w:w="1095"/>
        <w:gridCol w:w="1231"/>
        <w:gridCol w:w="1179"/>
      </w:tblGrid>
      <w:tr w:rsidR="0051435E" w:rsidRPr="006A6AB6" w14:paraId="487C2512" w14:textId="77777777" w:rsidTr="00150EED">
        <w:trPr>
          <w:trHeight w:val="312"/>
        </w:trPr>
        <w:tc>
          <w:tcPr>
            <w:tcW w:w="1620" w:type="dxa"/>
            <w:tcBorders>
              <w:top w:val="double" w:sz="6" w:space="0" w:color="auto"/>
              <w:left w:val="double" w:sz="6" w:space="0" w:color="auto"/>
              <w:bottom w:val="single" w:sz="8" w:space="0" w:color="auto"/>
              <w:right w:val="double" w:sz="6" w:space="0" w:color="auto"/>
            </w:tcBorders>
            <w:shd w:val="clear" w:color="auto" w:fill="auto"/>
            <w:noWrap/>
            <w:vAlign w:val="bottom"/>
            <w:hideMark/>
          </w:tcPr>
          <w:p w14:paraId="481FEAB7"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r w:rsidRPr="006A6AB6">
              <w:rPr>
                <w:rFonts w:ascii="Arial" w:hAnsi="Arial" w:cs="Arial"/>
                <w:b/>
                <w:bCs/>
                <w:color w:val="000000"/>
                <w:sz w:val="18"/>
                <w:szCs w:val="18"/>
              </w:rPr>
              <w:t>2016</w:t>
            </w:r>
          </w:p>
        </w:tc>
        <w:tc>
          <w:tcPr>
            <w:tcW w:w="2326"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0B7C49D2" w14:textId="77777777" w:rsidR="0051435E" w:rsidRPr="006A6AB6" w:rsidRDefault="0051435E" w:rsidP="00150EED">
            <w:pPr>
              <w:overflowPunct/>
              <w:autoSpaceDE/>
              <w:autoSpaceDN/>
              <w:adjustRightInd/>
              <w:textAlignment w:val="auto"/>
              <w:rPr>
                <w:rFonts w:ascii="Arial" w:hAnsi="Arial" w:cs="Arial"/>
                <w:b/>
                <w:bCs/>
                <w:color w:val="000000"/>
                <w:sz w:val="18"/>
                <w:szCs w:val="18"/>
              </w:rPr>
            </w:pPr>
            <w:r w:rsidRPr="006A6AB6">
              <w:rPr>
                <w:rFonts w:ascii="Arial" w:hAnsi="Arial" w:cs="Arial"/>
                <w:b/>
                <w:bCs/>
                <w:color w:val="000000"/>
                <w:sz w:val="18"/>
                <w:szCs w:val="18"/>
              </w:rPr>
              <w:t>Besoldungsgruppe R1</w:t>
            </w:r>
          </w:p>
        </w:tc>
        <w:tc>
          <w:tcPr>
            <w:tcW w:w="2410" w:type="dxa"/>
            <w:gridSpan w:val="2"/>
            <w:tcBorders>
              <w:top w:val="double" w:sz="6" w:space="0" w:color="auto"/>
              <w:left w:val="nil"/>
              <w:bottom w:val="single" w:sz="8" w:space="0" w:color="auto"/>
              <w:right w:val="double" w:sz="6" w:space="0" w:color="000000"/>
            </w:tcBorders>
            <w:shd w:val="clear" w:color="auto" w:fill="auto"/>
            <w:noWrap/>
            <w:vAlign w:val="bottom"/>
            <w:hideMark/>
          </w:tcPr>
          <w:p w14:paraId="3A28C0E0" w14:textId="77777777" w:rsidR="0051435E" w:rsidRPr="006A6AB6" w:rsidRDefault="0051435E" w:rsidP="00150EED">
            <w:pPr>
              <w:overflowPunct/>
              <w:autoSpaceDE/>
              <w:autoSpaceDN/>
              <w:adjustRightInd/>
              <w:textAlignment w:val="auto"/>
              <w:rPr>
                <w:rFonts w:ascii="Arial" w:hAnsi="Arial" w:cs="Arial"/>
                <w:b/>
                <w:bCs/>
                <w:color w:val="000000"/>
                <w:sz w:val="18"/>
                <w:szCs w:val="18"/>
              </w:rPr>
            </w:pPr>
            <w:r w:rsidRPr="006A6AB6">
              <w:rPr>
                <w:rFonts w:ascii="Arial" w:hAnsi="Arial" w:cs="Arial"/>
                <w:b/>
                <w:bCs/>
                <w:color w:val="000000"/>
                <w:sz w:val="18"/>
                <w:szCs w:val="18"/>
              </w:rPr>
              <w:t>Besoldungsgruppe R2</w:t>
            </w:r>
          </w:p>
        </w:tc>
      </w:tr>
      <w:tr w:rsidR="0051435E" w:rsidRPr="006A6AB6" w14:paraId="7DFD63F3" w14:textId="77777777" w:rsidTr="00150EED">
        <w:trPr>
          <w:trHeight w:val="540"/>
        </w:trPr>
        <w:tc>
          <w:tcPr>
            <w:tcW w:w="1620" w:type="dxa"/>
            <w:tcBorders>
              <w:top w:val="nil"/>
              <w:left w:val="double" w:sz="6" w:space="0" w:color="auto"/>
              <w:bottom w:val="double" w:sz="6" w:space="0" w:color="auto"/>
              <w:right w:val="double" w:sz="6" w:space="0" w:color="auto"/>
            </w:tcBorders>
            <w:shd w:val="clear" w:color="auto" w:fill="auto"/>
            <w:vAlign w:val="center"/>
            <w:hideMark/>
          </w:tcPr>
          <w:p w14:paraId="5DA6F941"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p>
        </w:tc>
        <w:tc>
          <w:tcPr>
            <w:tcW w:w="1231" w:type="dxa"/>
            <w:tcBorders>
              <w:top w:val="nil"/>
              <w:left w:val="nil"/>
              <w:bottom w:val="double" w:sz="6" w:space="0" w:color="auto"/>
              <w:right w:val="single" w:sz="4" w:space="0" w:color="auto"/>
            </w:tcBorders>
            <w:shd w:val="clear" w:color="auto" w:fill="auto"/>
            <w:vAlign w:val="center"/>
            <w:hideMark/>
          </w:tcPr>
          <w:p w14:paraId="69B52B05"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r w:rsidRPr="006A6AB6">
              <w:rPr>
                <w:rFonts w:ascii="Arial" w:hAnsi="Arial" w:cs="Arial"/>
                <w:b/>
                <w:bCs/>
                <w:color w:val="000000"/>
                <w:sz w:val="18"/>
                <w:szCs w:val="18"/>
              </w:rPr>
              <w:t>Besoldungs-erhöhung</w:t>
            </w:r>
          </w:p>
        </w:tc>
        <w:tc>
          <w:tcPr>
            <w:tcW w:w="1095" w:type="dxa"/>
            <w:tcBorders>
              <w:top w:val="nil"/>
              <w:left w:val="nil"/>
              <w:bottom w:val="double" w:sz="6" w:space="0" w:color="auto"/>
              <w:right w:val="double" w:sz="6" w:space="0" w:color="auto"/>
            </w:tcBorders>
            <w:shd w:val="clear" w:color="auto" w:fill="auto"/>
            <w:vAlign w:val="center"/>
            <w:hideMark/>
          </w:tcPr>
          <w:p w14:paraId="66405B0C"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r w:rsidRPr="006A6AB6">
              <w:rPr>
                <w:rFonts w:ascii="Arial" w:hAnsi="Arial" w:cs="Arial"/>
                <w:b/>
                <w:bCs/>
                <w:color w:val="000000"/>
                <w:sz w:val="18"/>
                <w:szCs w:val="18"/>
              </w:rPr>
              <w:t>Index</w:t>
            </w:r>
          </w:p>
        </w:tc>
        <w:tc>
          <w:tcPr>
            <w:tcW w:w="1231" w:type="dxa"/>
            <w:tcBorders>
              <w:top w:val="nil"/>
              <w:left w:val="nil"/>
              <w:bottom w:val="double" w:sz="6" w:space="0" w:color="auto"/>
              <w:right w:val="single" w:sz="4" w:space="0" w:color="auto"/>
            </w:tcBorders>
            <w:shd w:val="clear" w:color="auto" w:fill="auto"/>
            <w:vAlign w:val="center"/>
            <w:hideMark/>
          </w:tcPr>
          <w:p w14:paraId="4DF1BB58"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r w:rsidRPr="006A6AB6">
              <w:rPr>
                <w:rFonts w:ascii="Arial" w:hAnsi="Arial" w:cs="Arial"/>
                <w:b/>
                <w:bCs/>
                <w:color w:val="000000"/>
                <w:sz w:val="18"/>
                <w:szCs w:val="18"/>
              </w:rPr>
              <w:t>Besoldungs-erhöhung</w:t>
            </w:r>
          </w:p>
        </w:tc>
        <w:tc>
          <w:tcPr>
            <w:tcW w:w="1179" w:type="dxa"/>
            <w:tcBorders>
              <w:top w:val="nil"/>
              <w:left w:val="nil"/>
              <w:bottom w:val="double" w:sz="6" w:space="0" w:color="auto"/>
              <w:right w:val="double" w:sz="6" w:space="0" w:color="auto"/>
            </w:tcBorders>
            <w:shd w:val="clear" w:color="auto" w:fill="auto"/>
            <w:vAlign w:val="center"/>
            <w:hideMark/>
          </w:tcPr>
          <w:p w14:paraId="4DACEC98" w14:textId="77777777" w:rsidR="0051435E" w:rsidRPr="006A6AB6" w:rsidRDefault="0051435E" w:rsidP="00150EED">
            <w:pPr>
              <w:overflowPunct/>
              <w:autoSpaceDE/>
              <w:autoSpaceDN/>
              <w:adjustRightInd/>
              <w:jc w:val="center"/>
              <w:textAlignment w:val="auto"/>
              <w:rPr>
                <w:rFonts w:ascii="Arial" w:hAnsi="Arial" w:cs="Arial"/>
                <w:b/>
                <w:bCs/>
                <w:color w:val="000000"/>
                <w:sz w:val="18"/>
                <w:szCs w:val="18"/>
              </w:rPr>
            </w:pPr>
            <w:r w:rsidRPr="006A6AB6">
              <w:rPr>
                <w:rFonts w:ascii="Arial" w:hAnsi="Arial" w:cs="Arial"/>
                <w:b/>
                <w:bCs/>
                <w:color w:val="000000"/>
                <w:sz w:val="18"/>
                <w:szCs w:val="18"/>
              </w:rPr>
              <w:t>Index</w:t>
            </w:r>
          </w:p>
        </w:tc>
      </w:tr>
      <w:tr w:rsidR="0051435E" w:rsidRPr="006A6AB6" w14:paraId="6DFB5BDC" w14:textId="77777777" w:rsidTr="00150EED">
        <w:trPr>
          <w:trHeight w:val="300"/>
        </w:trPr>
        <w:tc>
          <w:tcPr>
            <w:tcW w:w="1620" w:type="dxa"/>
            <w:tcBorders>
              <w:top w:val="nil"/>
              <w:left w:val="double" w:sz="6" w:space="0" w:color="auto"/>
              <w:bottom w:val="nil"/>
              <w:right w:val="double" w:sz="6" w:space="0" w:color="auto"/>
            </w:tcBorders>
            <w:shd w:val="clear" w:color="000000" w:fill="D9D9D9"/>
            <w:noWrap/>
            <w:vAlign w:val="bottom"/>
            <w:hideMark/>
          </w:tcPr>
          <w:p w14:paraId="7CF04E38"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2001</w:t>
            </w:r>
          </w:p>
        </w:tc>
        <w:tc>
          <w:tcPr>
            <w:tcW w:w="1231" w:type="dxa"/>
            <w:tcBorders>
              <w:top w:val="nil"/>
              <w:left w:val="nil"/>
              <w:bottom w:val="nil"/>
              <w:right w:val="single" w:sz="4" w:space="0" w:color="auto"/>
            </w:tcBorders>
            <w:shd w:val="clear" w:color="auto" w:fill="auto"/>
            <w:noWrap/>
            <w:vAlign w:val="bottom"/>
            <w:hideMark/>
          </w:tcPr>
          <w:p w14:paraId="29F5BEBE" w14:textId="77777777" w:rsidR="0051435E" w:rsidRPr="006A6AB6" w:rsidRDefault="0051435E" w:rsidP="00150EED">
            <w:pPr>
              <w:overflowPunct/>
              <w:autoSpaceDE/>
              <w:autoSpaceDN/>
              <w:adjustRightInd/>
              <w:textAlignment w:val="auto"/>
              <w:rPr>
                <w:rFonts w:ascii="Arial" w:hAnsi="Arial" w:cs="Arial"/>
                <w:color w:val="000000"/>
                <w:sz w:val="18"/>
                <w:szCs w:val="18"/>
              </w:rPr>
            </w:pPr>
            <w:r w:rsidRPr="006A6AB6">
              <w:rPr>
                <w:rFonts w:ascii="Arial" w:hAnsi="Arial" w:cs="Arial"/>
                <w:color w:val="000000"/>
                <w:sz w:val="18"/>
                <w:szCs w:val="18"/>
              </w:rPr>
              <w:t> </w:t>
            </w:r>
          </w:p>
        </w:tc>
        <w:tc>
          <w:tcPr>
            <w:tcW w:w="1095" w:type="dxa"/>
            <w:tcBorders>
              <w:top w:val="nil"/>
              <w:left w:val="nil"/>
              <w:bottom w:val="nil"/>
              <w:right w:val="double" w:sz="6" w:space="0" w:color="auto"/>
            </w:tcBorders>
            <w:shd w:val="clear" w:color="auto" w:fill="auto"/>
            <w:noWrap/>
            <w:vAlign w:val="bottom"/>
            <w:hideMark/>
          </w:tcPr>
          <w:p w14:paraId="53A3575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100,00</w:t>
            </w:r>
          </w:p>
        </w:tc>
        <w:tc>
          <w:tcPr>
            <w:tcW w:w="1231" w:type="dxa"/>
            <w:tcBorders>
              <w:top w:val="nil"/>
              <w:left w:val="nil"/>
              <w:bottom w:val="nil"/>
              <w:right w:val="single" w:sz="4" w:space="0" w:color="auto"/>
            </w:tcBorders>
            <w:shd w:val="clear" w:color="auto" w:fill="auto"/>
            <w:noWrap/>
            <w:vAlign w:val="bottom"/>
            <w:hideMark/>
          </w:tcPr>
          <w:p w14:paraId="3C5B6A8B" w14:textId="77777777" w:rsidR="0051435E" w:rsidRPr="006A6AB6" w:rsidRDefault="0051435E" w:rsidP="00150EED">
            <w:pPr>
              <w:overflowPunct/>
              <w:autoSpaceDE/>
              <w:autoSpaceDN/>
              <w:adjustRightInd/>
              <w:textAlignment w:val="auto"/>
              <w:rPr>
                <w:rFonts w:ascii="Arial" w:hAnsi="Arial" w:cs="Arial"/>
                <w:color w:val="000000"/>
                <w:sz w:val="18"/>
                <w:szCs w:val="18"/>
              </w:rPr>
            </w:pPr>
            <w:r w:rsidRPr="006A6AB6">
              <w:rPr>
                <w:rFonts w:ascii="Arial" w:hAnsi="Arial" w:cs="Arial"/>
                <w:color w:val="000000"/>
                <w:sz w:val="18"/>
                <w:szCs w:val="18"/>
              </w:rPr>
              <w:t> </w:t>
            </w:r>
          </w:p>
        </w:tc>
        <w:tc>
          <w:tcPr>
            <w:tcW w:w="1179" w:type="dxa"/>
            <w:tcBorders>
              <w:top w:val="nil"/>
              <w:left w:val="nil"/>
              <w:bottom w:val="nil"/>
              <w:right w:val="double" w:sz="6" w:space="0" w:color="auto"/>
            </w:tcBorders>
            <w:shd w:val="clear" w:color="auto" w:fill="auto"/>
            <w:noWrap/>
            <w:vAlign w:val="bottom"/>
            <w:hideMark/>
          </w:tcPr>
          <w:p w14:paraId="1A13359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100,00</w:t>
            </w:r>
          </w:p>
        </w:tc>
      </w:tr>
      <w:tr w:rsidR="0051435E" w:rsidRPr="006A6AB6" w14:paraId="6757CE72"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5EFFF2BE"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2002</w:t>
            </w:r>
          </w:p>
        </w:tc>
        <w:tc>
          <w:tcPr>
            <w:tcW w:w="1231" w:type="dxa"/>
            <w:tcBorders>
              <w:top w:val="nil"/>
              <w:left w:val="nil"/>
              <w:bottom w:val="nil"/>
              <w:right w:val="single" w:sz="4" w:space="0" w:color="auto"/>
            </w:tcBorders>
            <w:shd w:val="clear" w:color="auto" w:fill="auto"/>
            <w:noWrap/>
            <w:vAlign w:val="bottom"/>
            <w:hideMark/>
          </w:tcPr>
          <w:p w14:paraId="1C104B8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2,20</w:t>
            </w:r>
          </w:p>
        </w:tc>
        <w:tc>
          <w:tcPr>
            <w:tcW w:w="1095" w:type="dxa"/>
            <w:tcBorders>
              <w:top w:val="nil"/>
              <w:left w:val="nil"/>
              <w:bottom w:val="nil"/>
              <w:right w:val="double" w:sz="6" w:space="0" w:color="auto"/>
            </w:tcBorders>
            <w:shd w:val="clear" w:color="auto" w:fill="auto"/>
            <w:noWrap/>
            <w:vAlign w:val="bottom"/>
            <w:hideMark/>
          </w:tcPr>
          <w:p w14:paraId="382F229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102,20</w:t>
            </w:r>
          </w:p>
        </w:tc>
        <w:tc>
          <w:tcPr>
            <w:tcW w:w="1231" w:type="dxa"/>
            <w:tcBorders>
              <w:top w:val="nil"/>
              <w:left w:val="nil"/>
              <w:bottom w:val="nil"/>
              <w:right w:val="single" w:sz="4" w:space="0" w:color="auto"/>
            </w:tcBorders>
            <w:shd w:val="clear" w:color="auto" w:fill="auto"/>
            <w:noWrap/>
            <w:vAlign w:val="bottom"/>
            <w:hideMark/>
          </w:tcPr>
          <w:p w14:paraId="034F91F8"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2,20</w:t>
            </w:r>
          </w:p>
        </w:tc>
        <w:tc>
          <w:tcPr>
            <w:tcW w:w="1179" w:type="dxa"/>
            <w:tcBorders>
              <w:top w:val="nil"/>
              <w:left w:val="nil"/>
              <w:bottom w:val="nil"/>
              <w:right w:val="double" w:sz="6" w:space="0" w:color="auto"/>
            </w:tcBorders>
            <w:shd w:val="clear" w:color="auto" w:fill="auto"/>
            <w:noWrap/>
            <w:vAlign w:val="bottom"/>
            <w:hideMark/>
          </w:tcPr>
          <w:p w14:paraId="1E9F7BA9"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102,20</w:t>
            </w:r>
          </w:p>
        </w:tc>
      </w:tr>
      <w:tr w:rsidR="0051435E" w:rsidRPr="006A6AB6" w14:paraId="3D3C69F6"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2E97EA45"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2003</w:t>
            </w:r>
          </w:p>
        </w:tc>
        <w:tc>
          <w:tcPr>
            <w:tcW w:w="1231" w:type="dxa"/>
            <w:tcBorders>
              <w:top w:val="nil"/>
              <w:left w:val="nil"/>
              <w:bottom w:val="nil"/>
              <w:right w:val="single" w:sz="4" w:space="0" w:color="auto"/>
            </w:tcBorders>
            <w:shd w:val="clear" w:color="auto" w:fill="auto"/>
            <w:noWrap/>
            <w:vAlign w:val="bottom"/>
            <w:hideMark/>
          </w:tcPr>
          <w:p w14:paraId="1503206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2,40</w:t>
            </w:r>
          </w:p>
        </w:tc>
        <w:tc>
          <w:tcPr>
            <w:tcW w:w="1095" w:type="dxa"/>
            <w:tcBorders>
              <w:top w:val="nil"/>
              <w:left w:val="nil"/>
              <w:bottom w:val="nil"/>
              <w:right w:val="double" w:sz="6" w:space="0" w:color="auto"/>
            </w:tcBorders>
            <w:shd w:val="clear" w:color="auto" w:fill="auto"/>
            <w:noWrap/>
            <w:vAlign w:val="bottom"/>
            <w:hideMark/>
          </w:tcPr>
          <w:p w14:paraId="33FEBFE6"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104,65</w:t>
            </w:r>
          </w:p>
        </w:tc>
        <w:tc>
          <w:tcPr>
            <w:tcW w:w="1231" w:type="dxa"/>
            <w:tcBorders>
              <w:top w:val="nil"/>
              <w:left w:val="nil"/>
              <w:bottom w:val="nil"/>
              <w:right w:val="single" w:sz="4" w:space="0" w:color="auto"/>
            </w:tcBorders>
            <w:shd w:val="clear" w:color="auto" w:fill="auto"/>
            <w:noWrap/>
            <w:vAlign w:val="bottom"/>
            <w:hideMark/>
          </w:tcPr>
          <w:p w14:paraId="4F14A209"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2,40</w:t>
            </w:r>
          </w:p>
        </w:tc>
        <w:tc>
          <w:tcPr>
            <w:tcW w:w="1179" w:type="dxa"/>
            <w:tcBorders>
              <w:top w:val="nil"/>
              <w:left w:val="nil"/>
              <w:bottom w:val="nil"/>
              <w:right w:val="double" w:sz="6" w:space="0" w:color="auto"/>
            </w:tcBorders>
            <w:shd w:val="clear" w:color="auto" w:fill="auto"/>
            <w:noWrap/>
            <w:vAlign w:val="bottom"/>
            <w:hideMark/>
          </w:tcPr>
          <w:p w14:paraId="6599180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104,65</w:t>
            </w:r>
          </w:p>
        </w:tc>
      </w:tr>
      <w:tr w:rsidR="0051435E" w:rsidRPr="006A6AB6" w14:paraId="437A837A"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51B9E7E5"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 </w:t>
            </w:r>
          </w:p>
        </w:tc>
        <w:tc>
          <w:tcPr>
            <w:tcW w:w="1231" w:type="dxa"/>
            <w:tcBorders>
              <w:top w:val="nil"/>
              <w:left w:val="nil"/>
              <w:bottom w:val="nil"/>
              <w:right w:val="single" w:sz="4" w:space="0" w:color="auto"/>
            </w:tcBorders>
            <w:shd w:val="clear" w:color="auto" w:fill="auto"/>
            <w:noWrap/>
            <w:vAlign w:val="bottom"/>
            <w:hideMark/>
          </w:tcPr>
          <w:p w14:paraId="64021AC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-5,56</w:t>
            </w:r>
          </w:p>
        </w:tc>
        <w:tc>
          <w:tcPr>
            <w:tcW w:w="1095" w:type="dxa"/>
            <w:tcBorders>
              <w:top w:val="nil"/>
              <w:left w:val="nil"/>
              <w:bottom w:val="nil"/>
              <w:right w:val="double" w:sz="6" w:space="0" w:color="auto"/>
            </w:tcBorders>
            <w:shd w:val="clear" w:color="auto" w:fill="auto"/>
            <w:noWrap/>
            <w:vAlign w:val="bottom"/>
            <w:hideMark/>
          </w:tcPr>
          <w:p w14:paraId="3FC91A6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98,83</w:t>
            </w:r>
          </w:p>
        </w:tc>
        <w:tc>
          <w:tcPr>
            <w:tcW w:w="1231" w:type="dxa"/>
            <w:tcBorders>
              <w:top w:val="nil"/>
              <w:left w:val="nil"/>
              <w:bottom w:val="nil"/>
              <w:right w:val="single" w:sz="4" w:space="0" w:color="auto"/>
            </w:tcBorders>
            <w:shd w:val="clear" w:color="auto" w:fill="auto"/>
            <w:noWrap/>
            <w:vAlign w:val="bottom"/>
            <w:hideMark/>
          </w:tcPr>
          <w:p w14:paraId="2107D04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-5,64</w:t>
            </w:r>
          </w:p>
        </w:tc>
        <w:tc>
          <w:tcPr>
            <w:tcW w:w="1179" w:type="dxa"/>
            <w:tcBorders>
              <w:top w:val="nil"/>
              <w:left w:val="nil"/>
              <w:bottom w:val="nil"/>
              <w:right w:val="double" w:sz="6" w:space="0" w:color="auto"/>
            </w:tcBorders>
            <w:shd w:val="clear" w:color="auto" w:fill="auto"/>
            <w:noWrap/>
            <w:vAlign w:val="bottom"/>
            <w:hideMark/>
          </w:tcPr>
          <w:p w14:paraId="43CDA688"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98,75</w:t>
            </w:r>
          </w:p>
        </w:tc>
      </w:tr>
      <w:tr w:rsidR="0051435E" w:rsidRPr="006A6AB6" w14:paraId="4ED0933F"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4E12B184"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2004</w:t>
            </w:r>
          </w:p>
        </w:tc>
        <w:tc>
          <w:tcPr>
            <w:tcW w:w="1231" w:type="dxa"/>
            <w:tcBorders>
              <w:top w:val="nil"/>
              <w:left w:val="nil"/>
              <w:bottom w:val="nil"/>
              <w:right w:val="single" w:sz="4" w:space="0" w:color="auto"/>
            </w:tcBorders>
            <w:shd w:val="clear" w:color="auto" w:fill="auto"/>
            <w:noWrap/>
            <w:vAlign w:val="bottom"/>
            <w:hideMark/>
          </w:tcPr>
          <w:p w14:paraId="3E30F8C2"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w:t>
            </w:r>
          </w:p>
        </w:tc>
        <w:tc>
          <w:tcPr>
            <w:tcW w:w="1095" w:type="dxa"/>
            <w:tcBorders>
              <w:top w:val="nil"/>
              <w:left w:val="nil"/>
              <w:bottom w:val="nil"/>
              <w:right w:val="double" w:sz="6" w:space="0" w:color="auto"/>
            </w:tcBorders>
            <w:shd w:val="clear" w:color="auto" w:fill="auto"/>
            <w:noWrap/>
            <w:vAlign w:val="bottom"/>
            <w:hideMark/>
          </w:tcPr>
          <w:p w14:paraId="77C4023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99,82</w:t>
            </w:r>
          </w:p>
        </w:tc>
        <w:tc>
          <w:tcPr>
            <w:tcW w:w="1231" w:type="dxa"/>
            <w:tcBorders>
              <w:top w:val="nil"/>
              <w:left w:val="nil"/>
              <w:bottom w:val="nil"/>
              <w:right w:val="single" w:sz="4" w:space="0" w:color="auto"/>
            </w:tcBorders>
            <w:shd w:val="clear" w:color="auto" w:fill="auto"/>
            <w:noWrap/>
            <w:vAlign w:val="bottom"/>
            <w:hideMark/>
          </w:tcPr>
          <w:p w14:paraId="3595ECB8"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w:t>
            </w:r>
          </w:p>
        </w:tc>
        <w:tc>
          <w:tcPr>
            <w:tcW w:w="1179" w:type="dxa"/>
            <w:tcBorders>
              <w:top w:val="nil"/>
              <w:left w:val="nil"/>
              <w:bottom w:val="nil"/>
              <w:right w:val="double" w:sz="6" w:space="0" w:color="auto"/>
            </w:tcBorders>
            <w:shd w:val="clear" w:color="auto" w:fill="auto"/>
            <w:noWrap/>
            <w:vAlign w:val="bottom"/>
            <w:hideMark/>
          </w:tcPr>
          <w:p w14:paraId="53A728A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99,74</w:t>
            </w:r>
          </w:p>
        </w:tc>
      </w:tr>
      <w:tr w:rsidR="0051435E" w:rsidRPr="006A6AB6" w14:paraId="2AB49BC4"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32ADB147"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 </w:t>
            </w:r>
          </w:p>
        </w:tc>
        <w:tc>
          <w:tcPr>
            <w:tcW w:w="1231" w:type="dxa"/>
            <w:tcBorders>
              <w:top w:val="nil"/>
              <w:left w:val="nil"/>
              <w:bottom w:val="nil"/>
              <w:right w:val="single" w:sz="4" w:space="0" w:color="auto"/>
            </w:tcBorders>
            <w:shd w:val="clear" w:color="auto" w:fill="auto"/>
            <w:noWrap/>
            <w:vAlign w:val="bottom"/>
            <w:hideMark/>
          </w:tcPr>
          <w:p w14:paraId="4C76BF0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w:t>
            </w:r>
          </w:p>
        </w:tc>
        <w:tc>
          <w:tcPr>
            <w:tcW w:w="1095" w:type="dxa"/>
            <w:tcBorders>
              <w:top w:val="nil"/>
              <w:left w:val="nil"/>
              <w:bottom w:val="nil"/>
              <w:right w:val="double" w:sz="6" w:space="0" w:color="auto"/>
            </w:tcBorders>
            <w:shd w:val="clear" w:color="auto" w:fill="auto"/>
            <w:noWrap/>
            <w:vAlign w:val="bottom"/>
            <w:hideMark/>
          </w:tcPr>
          <w:p w14:paraId="028AEE93"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100,82</w:t>
            </w:r>
          </w:p>
        </w:tc>
        <w:tc>
          <w:tcPr>
            <w:tcW w:w="1231" w:type="dxa"/>
            <w:tcBorders>
              <w:top w:val="nil"/>
              <w:left w:val="nil"/>
              <w:bottom w:val="nil"/>
              <w:right w:val="single" w:sz="4" w:space="0" w:color="auto"/>
            </w:tcBorders>
            <w:shd w:val="clear" w:color="auto" w:fill="auto"/>
            <w:noWrap/>
            <w:vAlign w:val="bottom"/>
            <w:hideMark/>
          </w:tcPr>
          <w:p w14:paraId="26EF230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w:t>
            </w:r>
          </w:p>
        </w:tc>
        <w:tc>
          <w:tcPr>
            <w:tcW w:w="1179" w:type="dxa"/>
            <w:tcBorders>
              <w:top w:val="nil"/>
              <w:left w:val="nil"/>
              <w:bottom w:val="nil"/>
              <w:right w:val="double" w:sz="6" w:space="0" w:color="auto"/>
            </w:tcBorders>
            <w:shd w:val="clear" w:color="auto" w:fill="auto"/>
            <w:noWrap/>
            <w:vAlign w:val="bottom"/>
            <w:hideMark/>
          </w:tcPr>
          <w:p w14:paraId="3F1F315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100,74</w:t>
            </w:r>
          </w:p>
        </w:tc>
      </w:tr>
      <w:tr w:rsidR="0051435E" w:rsidRPr="006A6AB6" w14:paraId="7AFC08F3"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6DC87AC7"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2005</w:t>
            </w:r>
          </w:p>
        </w:tc>
        <w:tc>
          <w:tcPr>
            <w:tcW w:w="1231" w:type="dxa"/>
            <w:tcBorders>
              <w:top w:val="nil"/>
              <w:left w:val="nil"/>
              <w:bottom w:val="nil"/>
              <w:right w:val="single" w:sz="4" w:space="0" w:color="auto"/>
            </w:tcBorders>
            <w:shd w:val="clear" w:color="auto" w:fill="auto"/>
            <w:noWrap/>
            <w:vAlign w:val="bottom"/>
            <w:hideMark/>
          </w:tcPr>
          <w:p w14:paraId="3F1B168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095" w:type="dxa"/>
            <w:tcBorders>
              <w:top w:val="nil"/>
              <w:left w:val="nil"/>
              <w:bottom w:val="nil"/>
              <w:right w:val="double" w:sz="6" w:space="0" w:color="auto"/>
            </w:tcBorders>
            <w:shd w:val="clear" w:color="auto" w:fill="auto"/>
            <w:noWrap/>
            <w:vAlign w:val="bottom"/>
            <w:hideMark/>
          </w:tcPr>
          <w:p w14:paraId="0D3D45F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100,82</w:t>
            </w:r>
          </w:p>
        </w:tc>
        <w:tc>
          <w:tcPr>
            <w:tcW w:w="1231" w:type="dxa"/>
            <w:tcBorders>
              <w:top w:val="nil"/>
              <w:left w:val="nil"/>
              <w:bottom w:val="nil"/>
              <w:right w:val="single" w:sz="4" w:space="0" w:color="auto"/>
            </w:tcBorders>
            <w:shd w:val="clear" w:color="auto" w:fill="auto"/>
            <w:noWrap/>
            <w:vAlign w:val="bottom"/>
            <w:hideMark/>
          </w:tcPr>
          <w:p w14:paraId="02B0E7C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179" w:type="dxa"/>
            <w:tcBorders>
              <w:top w:val="nil"/>
              <w:left w:val="nil"/>
              <w:bottom w:val="nil"/>
              <w:right w:val="double" w:sz="6" w:space="0" w:color="auto"/>
            </w:tcBorders>
            <w:shd w:val="clear" w:color="auto" w:fill="auto"/>
            <w:noWrap/>
            <w:vAlign w:val="bottom"/>
            <w:hideMark/>
          </w:tcPr>
          <w:p w14:paraId="57B94E4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100,74</w:t>
            </w:r>
          </w:p>
        </w:tc>
      </w:tr>
      <w:tr w:rsidR="0051435E" w:rsidRPr="006A6AB6" w14:paraId="4E8E0151"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31F0545B"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2006</w:t>
            </w:r>
          </w:p>
        </w:tc>
        <w:tc>
          <w:tcPr>
            <w:tcW w:w="1231" w:type="dxa"/>
            <w:tcBorders>
              <w:top w:val="nil"/>
              <w:left w:val="nil"/>
              <w:bottom w:val="nil"/>
              <w:right w:val="single" w:sz="4" w:space="0" w:color="auto"/>
            </w:tcBorders>
            <w:shd w:val="clear" w:color="auto" w:fill="auto"/>
            <w:noWrap/>
            <w:vAlign w:val="bottom"/>
            <w:hideMark/>
          </w:tcPr>
          <w:p w14:paraId="6BE0E71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095" w:type="dxa"/>
            <w:tcBorders>
              <w:top w:val="nil"/>
              <w:left w:val="nil"/>
              <w:bottom w:val="nil"/>
              <w:right w:val="double" w:sz="6" w:space="0" w:color="auto"/>
            </w:tcBorders>
            <w:shd w:val="clear" w:color="auto" w:fill="auto"/>
            <w:noWrap/>
            <w:vAlign w:val="bottom"/>
            <w:hideMark/>
          </w:tcPr>
          <w:p w14:paraId="2E0F75B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100,82</w:t>
            </w:r>
          </w:p>
        </w:tc>
        <w:tc>
          <w:tcPr>
            <w:tcW w:w="1231" w:type="dxa"/>
            <w:tcBorders>
              <w:top w:val="nil"/>
              <w:left w:val="nil"/>
              <w:bottom w:val="nil"/>
              <w:right w:val="single" w:sz="4" w:space="0" w:color="auto"/>
            </w:tcBorders>
            <w:shd w:val="clear" w:color="auto" w:fill="auto"/>
            <w:noWrap/>
            <w:vAlign w:val="bottom"/>
            <w:hideMark/>
          </w:tcPr>
          <w:p w14:paraId="2223C539"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179" w:type="dxa"/>
            <w:tcBorders>
              <w:top w:val="nil"/>
              <w:left w:val="nil"/>
              <w:bottom w:val="nil"/>
              <w:right w:val="double" w:sz="6" w:space="0" w:color="auto"/>
            </w:tcBorders>
            <w:shd w:val="clear" w:color="auto" w:fill="auto"/>
            <w:noWrap/>
            <w:vAlign w:val="bottom"/>
            <w:hideMark/>
          </w:tcPr>
          <w:p w14:paraId="5151EA1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100,74</w:t>
            </w:r>
          </w:p>
        </w:tc>
      </w:tr>
      <w:tr w:rsidR="0051435E" w:rsidRPr="006A6AB6" w14:paraId="029E0071"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38D56A86"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2007</w:t>
            </w:r>
          </w:p>
        </w:tc>
        <w:tc>
          <w:tcPr>
            <w:tcW w:w="1231" w:type="dxa"/>
            <w:tcBorders>
              <w:top w:val="nil"/>
              <w:left w:val="nil"/>
              <w:bottom w:val="nil"/>
              <w:right w:val="single" w:sz="4" w:space="0" w:color="auto"/>
            </w:tcBorders>
            <w:shd w:val="clear" w:color="auto" w:fill="auto"/>
            <w:noWrap/>
            <w:vAlign w:val="bottom"/>
            <w:hideMark/>
          </w:tcPr>
          <w:p w14:paraId="6E64784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095" w:type="dxa"/>
            <w:tcBorders>
              <w:top w:val="nil"/>
              <w:left w:val="nil"/>
              <w:bottom w:val="nil"/>
              <w:right w:val="double" w:sz="6" w:space="0" w:color="auto"/>
            </w:tcBorders>
            <w:shd w:val="clear" w:color="auto" w:fill="auto"/>
            <w:noWrap/>
            <w:vAlign w:val="bottom"/>
            <w:hideMark/>
          </w:tcPr>
          <w:p w14:paraId="1F68628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100,82</w:t>
            </w:r>
          </w:p>
        </w:tc>
        <w:tc>
          <w:tcPr>
            <w:tcW w:w="1231" w:type="dxa"/>
            <w:tcBorders>
              <w:top w:val="nil"/>
              <w:left w:val="nil"/>
              <w:bottom w:val="nil"/>
              <w:right w:val="single" w:sz="4" w:space="0" w:color="auto"/>
            </w:tcBorders>
            <w:shd w:val="clear" w:color="auto" w:fill="auto"/>
            <w:noWrap/>
            <w:vAlign w:val="bottom"/>
            <w:hideMark/>
          </w:tcPr>
          <w:p w14:paraId="02991B1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179" w:type="dxa"/>
            <w:tcBorders>
              <w:top w:val="nil"/>
              <w:left w:val="nil"/>
              <w:bottom w:val="nil"/>
              <w:right w:val="double" w:sz="6" w:space="0" w:color="auto"/>
            </w:tcBorders>
            <w:shd w:val="clear" w:color="auto" w:fill="auto"/>
            <w:noWrap/>
            <w:vAlign w:val="bottom"/>
            <w:hideMark/>
          </w:tcPr>
          <w:p w14:paraId="46B0AB0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100,74</w:t>
            </w:r>
          </w:p>
        </w:tc>
      </w:tr>
      <w:tr w:rsidR="0051435E" w:rsidRPr="006A6AB6" w14:paraId="6006F8C9"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0283B1D1"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2008</w:t>
            </w:r>
          </w:p>
        </w:tc>
        <w:tc>
          <w:tcPr>
            <w:tcW w:w="1231" w:type="dxa"/>
            <w:tcBorders>
              <w:top w:val="nil"/>
              <w:left w:val="nil"/>
              <w:bottom w:val="nil"/>
              <w:right w:val="single" w:sz="4" w:space="0" w:color="auto"/>
            </w:tcBorders>
            <w:shd w:val="clear" w:color="auto" w:fill="auto"/>
            <w:noWrap/>
            <w:vAlign w:val="bottom"/>
            <w:hideMark/>
          </w:tcPr>
          <w:p w14:paraId="11494C56"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0,49</w:t>
            </w:r>
          </w:p>
        </w:tc>
        <w:tc>
          <w:tcPr>
            <w:tcW w:w="1095" w:type="dxa"/>
            <w:tcBorders>
              <w:top w:val="nil"/>
              <w:left w:val="nil"/>
              <w:bottom w:val="nil"/>
              <w:right w:val="double" w:sz="6" w:space="0" w:color="auto"/>
            </w:tcBorders>
            <w:shd w:val="clear" w:color="auto" w:fill="auto"/>
            <w:noWrap/>
            <w:vAlign w:val="bottom"/>
            <w:hideMark/>
          </w:tcPr>
          <w:p w14:paraId="44024C9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101,31</w:t>
            </w:r>
          </w:p>
        </w:tc>
        <w:tc>
          <w:tcPr>
            <w:tcW w:w="1231" w:type="dxa"/>
            <w:tcBorders>
              <w:top w:val="nil"/>
              <w:left w:val="nil"/>
              <w:bottom w:val="nil"/>
              <w:right w:val="single" w:sz="4" w:space="0" w:color="auto"/>
            </w:tcBorders>
            <w:shd w:val="clear" w:color="auto" w:fill="auto"/>
            <w:noWrap/>
            <w:vAlign w:val="bottom"/>
            <w:hideMark/>
          </w:tcPr>
          <w:p w14:paraId="274013E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0,45</w:t>
            </w:r>
          </w:p>
        </w:tc>
        <w:tc>
          <w:tcPr>
            <w:tcW w:w="1179" w:type="dxa"/>
            <w:tcBorders>
              <w:top w:val="nil"/>
              <w:left w:val="nil"/>
              <w:bottom w:val="nil"/>
              <w:right w:val="double" w:sz="6" w:space="0" w:color="auto"/>
            </w:tcBorders>
            <w:shd w:val="clear" w:color="auto" w:fill="auto"/>
            <w:noWrap/>
            <w:vAlign w:val="bottom"/>
            <w:hideMark/>
          </w:tcPr>
          <w:p w14:paraId="6048B2F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101,19</w:t>
            </w:r>
          </w:p>
        </w:tc>
      </w:tr>
      <w:tr w:rsidR="0051435E" w:rsidRPr="006A6AB6" w14:paraId="073778C8"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06831A4E"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2009</w:t>
            </w:r>
          </w:p>
        </w:tc>
        <w:tc>
          <w:tcPr>
            <w:tcW w:w="1231" w:type="dxa"/>
            <w:tcBorders>
              <w:top w:val="nil"/>
              <w:left w:val="nil"/>
              <w:bottom w:val="nil"/>
              <w:right w:val="single" w:sz="4" w:space="0" w:color="auto"/>
            </w:tcBorders>
            <w:shd w:val="clear" w:color="auto" w:fill="auto"/>
            <w:noWrap/>
            <w:vAlign w:val="bottom"/>
            <w:hideMark/>
          </w:tcPr>
          <w:p w14:paraId="6E94C94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095" w:type="dxa"/>
            <w:tcBorders>
              <w:top w:val="nil"/>
              <w:left w:val="nil"/>
              <w:bottom w:val="nil"/>
              <w:right w:val="double" w:sz="6" w:space="0" w:color="auto"/>
            </w:tcBorders>
            <w:shd w:val="clear" w:color="auto" w:fill="auto"/>
            <w:noWrap/>
            <w:vAlign w:val="bottom"/>
            <w:hideMark/>
          </w:tcPr>
          <w:p w14:paraId="5CFB53D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101,31</w:t>
            </w:r>
          </w:p>
        </w:tc>
        <w:tc>
          <w:tcPr>
            <w:tcW w:w="1231" w:type="dxa"/>
            <w:tcBorders>
              <w:top w:val="nil"/>
              <w:left w:val="nil"/>
              <w:bottom w:val="nil"/>
              <w:right w:val="single" w:sz="4" w:space="0" w:color="auto"/>
            </w:tcBorders>
            <w:shd w:val="clear" w:color="auto" w:fill="auto"/>
            <w:noWrap/>
            <w:vAlign w:val="bottom"/>
            <w:hideMark/>
          </w:tcPr>
          <w:p w14:paraId="30CBE986"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0,00</w:t>
            </w:r>
          </w:p>
        </w:tc>
        <w:tc>
          <w:tcPr>
            <w:tcW w:w="1179" w:type="dxa"/>
            <w:tcBorders>
              <w:top w:val="nil"/>
              <w:left w:val="nil"/>
              <w:bottom w:val="nil"/>
              <w:right w:val="double" w:sz="6" w:space="0" w:color="auto"/>
            </w:tcBorders>
            <w:shd w:val="clear" w:color="auto" w:fill="auto"/>
            <w:noWrap/>
            <w:vAlign w:val="bottom"/>
            <w:hideMark/>
          </w:tcPr>
          <w:p w14:paraId="19CA76A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101,19</w:t>
            </w:r>
          </w:p>
        </w:tc>
      </w:tr>
      <w:tr w:rsidR="0051435E" w:rsidRPr="006A6AB6" w14:paraId="1993FD04"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76215164"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773C672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1,70</w:t>
            </w:r>
          </w:p>
        </w:tc>
        <w:tc>
          <w:tcPr>
            <w:tcW w:w="1095" w:type="dxa"/>
            <w:tcBorders>
              <w:top w:val="nil"/>
              <w:left w:val="nil"/>
              <w:bottom w:val="nil"/>
              <w:right w:val="double" w:sz="6" w:space="0" w:color="auto"/>
            </w:tcBorders>
            <w:shd w:val="clear" w:color="auto" w:fill="auto"/>
            <w:noWrap/>
            <w:vAlign w:val="bottom"/>
            <w:hideMark/>
          </w:tcPr>
          <w:p w14:paraId="634D5C4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103,04</w:t>
            </w:r>
          </w:p>
        </w:tc>
        <w:tc>
          <w:tcPr>
            <w:tcW w:w="1231" w:type="dxa"/>
            <w:tcBorders>
              <w:top w:val="nil"/>
              <w:left w:val="nil"/>
              <w:bottom w:val="nil"/>
              <w:right w:val="single" w:sz="4" w:space="0" w:color="auto"/>
            </w:tcBorders>
            <w:shd w:val="clear" w:color="auto" w:fill="auto"/>
            <w:noWrap/>
            <w:vAlign w:val="bottom"/>
            <w:hideMark/>
          </w:tcPr>
          <w:p w14:paraId="29DA741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1,82</w:t>
            </w:r>
          </w:p>
        </w:tc>
        <w:tc>
          <w:tcPr>
            <w:tcW w:w="1179" w:type="dxa"/>
            <w:tcBorders>
              <w:top w:val="nil"/>
              <w:left w:val="nil"/>
              <w:bottom w:val="nil"/>
              <w:right w:val="double" w:sz="6" w:space="0" w:color="auto"/>
            </w:tcBorders>
            <w:shd w:val="clear" w:color="auto" w:fill="auto"/>
            <w:noWrap/>
            <w:vAlign w:val="bottom"/>
            <w:hideMark/>
          </w:tcPr>
          <w:p w14:paraId="3CA4CE88"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103,03</w:t>
            </w:r>
          </w:p>
        </w:tc>
      </w:tr>
      <w:tr w:rsidR="0051435E" w:rsidRPr="006A6AB6" w14:paraId="53243DB2"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5D5E527A" w14:textId="77777777" w:rsidR="0051435E" w:rsidRPr="006A6AB6" w:rsidRDefault="0051435E" w:rsidP="00150EED">
            <w:pPr>
              <w:overflowPunct/>
              <w:autoSpaceDE/>
              <w:autoSpaceDN/>
              <w:adjustRightInd/>
              <w:spacing w:line="300" w:lineRule="auto"/>
              <w:jc w:val="center"/>
              <w:textAlignment w:val="auto"/>
              <w:rPr>
                <w:rFonts w:ascii="Arial" w:hAnsi="Arial" w:cs="Arial"/>
                <w:color w:val="000000"/>
                <w:sz w:val="18"/>
                <w:szCs w:val="18"/>
              </w:rPr>
            </w:pPr>
            <w:r w:rsidRPr="006A6AB6">
              <w:rPr>
                <w:rFonts w:ascii="Arial" w:hAnsi="Arial" w:cs="Arial"/>
                <w:color w:val="000000"/>
                <w:sz w:val="18"/>
                <w:szCs w:val="18"/>
              </w:rPr>
              <w:t>2010</w:t>
            </w:r>
          </w:p>
        </w:tc>
        <w:tc>
          <w:tcPr>
            <w:tcW w:w="1231" w:type="dxa"/>
            <w:tcBorders>
              <w:top w:val="nil"/>
              <w:left w:val="nil"/>
              <w:bottom w:val="nil"/>
              <w:right w:val="single" w:sz="4" w:space="0" w:color="auto"/>
            </w:tcBorders>
            <w:shd w:val="clear" w:color="auto" w:fill="auto"/>
            <w:noWrap/>
            <w:vAlign w:val="bottom"/>
            <w:hideMark/>
          </w:tcPr>
          <w:p w14:paraId="068EEBDD" w14:textId="77777777" w:rsidR="0051435E" w:rsidRPr="006A6AB6" w:rsidRDefault="0051435E" w:rsidP="00150EED">
            <w:pPr>
              <w:overflowPunct/>
              <w:autoSpaceDE/>
              <w:autoSpaceDN/>
              <w:adjustRightInd/>
              <w:spacing w:line="300" w:lineRule="auto"/>
              <w:jc w:val="right"/>
              <w:textAlignment w:val="auto"/>
              <w:rPr>
                <w:rFonts w:ascii="Arial" w:hAnsi="Arial" w:cs="Arial"/>
                <w:color w:val="000000"/>
                <w:sz w:val="18"/>
                <w:szCs w:val="18"/>
              </w:rPr>
            </w:pPr>
            <w:r w:rsidRPr="006A6AB6">
              <w:rPr>
                <w:rFonts w:ascii="Arial" w:hAnsi="Arial" w:cs="Arial"/>
                <w:color w:val="000000"/>
                <w:sz w:val="18"/>
                <w:szCs w:val="18"/>
              </w:rPr>
              <w:t>-0,49</w:t>
            </w:r>
          </w:p>
        </w:tc>
        <w:tc>
          <w:tcPr>
            <w:tcW w:w="1095" w:type="dxa"/>
            <w:tcBorders>
              <w:top w:val="nil"/>
              <w:left w:val="nil"/>
              <w:bottom w:val="nil"/>
              <w:right w:val="double" w:sz="6" w:space="0" w:color="auto"/>
            </w:tcBorders>
            <w:shd w:val="clear" w:color="auto" w:fill="auto"/>
            <w:noWrap/>
            <w:vAlign w:val="bottom"/>
            <w:hideMark/>
          </w:tcPr>
          <w:p w14:paraId="33FB3316" w14:textId="77777777" w:rsidR="0051435E" w:rsidRPr="006A6AB6" w:rsidRDefault="0051435E" w:rsidP="00150EED">
            <w:pPr>
              <w:overflowPunct/>
              <w:autoSpaceDE/>
              <w:autoSpaceDN/>
              <w:adjustRightInd/>
              <w:spacing w:line="300" w:lineRule="auto"/>
              <w:jc w:val="right"/>
              <w:textAlignment w:val="auto"/>
              <w:rPr>
                <w:rFonts w:ascii="Arial" w:hAnsi="Arial" w:cs="Arial"/>
                <w:color w:val="000000"/>
                <w:sz w:val="18"/>
                <w:szCs w:val="18"/>
              </w:rPr>
            </w:pPr>
            <w:r w:rsidRPr="006A6AB6">
              <w:rPr>
                <w:rFonts w:ascii="Arial" w:hAnsi="Arial" w:cs="Arial"/>
                <w:color w:val="000000"/>
                <w:sz w:val="18"/>
                <w:szCs w:val="18"/>
              </w:rPr>
              <w:t>100,82</w:t>
            </w:r>
          </w:p>
        </w:tc>
        <w:tc>
          <w:tcPr>
            <w:tcW w:w="1231" w:type="dxa"/>
            <w:tcBorders>
              <w:top w:val="nil"/>
              <w:left w:val="nil"/>
              <w:bottom w:val="nil"/>
              <w:right w:val="single" w:sz="4" w:space="0" w:color="auto"/>
            </w:tcBorders>
            <w:shd w:val="clear" w:color="auto" w:fill="auto"/>
            <w:noWrap/>
            <w:vAlign w:val="bottom"/>
            <w:hideMark/>
          </w:tcPr>
          <w:p w14:paraId="46E39681" w14:textId="77777777" w:rsidR="0051435E" w:rsidRPr="006A6AB6" w:rsidRDefault="0051435E" w:rsidP="00150EED">
            <w:pPr>
              <w:overflowPunct/>
              <w:autoSpaceDE/>
              <w:autoSpaceDN/>
              <w:adjustRightInd/>
              <w:spacing w:line="300" w:lineRule="auto"/>
              <w:jc w:val="right"/>
              <w:textAlignment w:val="auto"/>
              <w:rPr>
                <w:rFonts w:ascii="Arial" w:hAnsi="Arial" w:cs="Arial"/>
                <w:color w:val="000000"/>
                <w:sz w:val="18"/>
                <w:szCs w:val="18"/>
              </w:rPr>
            </w:pPr>
            <w:r w:rsidRPr="006A6AB6">
              <w:rPr>
                <w:rFonts w:ascii="Arial" w:hAnsi="Arial" w:cs="Arial"/>
                <w:color w:val="000000"/>
                <w:sz w:val="18"/>
                <w:szCs w:val="18"/>
              </w:rPr>
              <w:t>-0,45</w:t>
            </w:r>
          </w:p>
        </w:tc>
        <w:tc>
          <w:tcPr>
            <w:tcW w:w="1179" w:type="dxa"/>
            <w:tcBorders>
              <w:top w:val="nil"/>
              <w:left w:val="nil"/>
              <w:bottom w:val="nil"/>
              <w:right w:val="double" w:sz="6" w:space="0" w:color="auto"/>
            </w:tcBorders>
            <w:shd w:val="clear" w:color="auto" w:fill="auto"/>
            <w:noWrap/>
            <w:vAlign w:val="bottom"/>
            <w:hideMark/>
          </w:tcPr>
          <w:p w14:paraId="24119F98" w14:textId="77777777" w:rsidR="0051435E" w:rsidRPr="006A6AB6" w:rsidRDefault="0051435E" w:rsidP="00150EED">
            <w:pPr>
              <w:overflowPunct/>
              <w:autoSpaceDE/>
              <w:autoSpaceDN/>
              <w:adjustRightInd/>
              <w:spacing w:line="300" w:lineRule="auto"/>
              <w:jc w:val="right"/>
              <w:textAlignment w:val="auto"/>
              <w:rPr>
                <w:rFonts w:ascii="Arial" w:hAnsi="Arial" w:cs="Arial"/>
                <w:color w:val="000000"/>
                <w:sz w:val="18"/>
                <w:szCs w:val="18"/>
              </w:rPr>
            </w:pPr>
            <w:r w:rsidRPr="006A6AB6">
              <w:rPr>
                <w:rFonts w:ascii="Arial" w:hAnsi="Arial" w:cs="Arial"/>
                <w:color w:val="000000"/>
                <w:sz w:val="18"/>
                <w:szCs w:val="18"/>
              </w:rPr>
              <w:t>100,73</w:t>
            </w:r>
          </w:p>
        </w:tc>
      </w:tr>
      <w:tr w:rsidR="0051435E" w:rsidRPr="006A6AB6" w14:paraId="21FA8E80"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305FA756"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 </w:t>
            </w:r>
          </w:p>
        </w:tc>
        <w:tc>
          <w:tcPr>
            <w:tcW w:w="1231" w:type="dxa"/>
            <w:tcBorders>
              <w:top w:val="nil"/>
              <w:left w:val="nil"/>
              <w:bottom w:val="nil"/>
              <w:right w:val="single" w:sz="4" w:space="0" w:color="auto"/>
            </w:tcBorders>
            <w:shd w:val="clear" w:color="auto" w:fill="auto"/>
            <w:noWrap/>
            <w:vAlign w:val="bottom"/>
            <w:hideMark/>
          </w:tcPr>
          <w:p w14:paraId="60A367A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1,50</w:t>
            </w:r>
          </w:p>
        </w:tc>
        <w:tc>
          <w:tcPr>
            <w:tcW w:w="1095" w:type="dxa"/>
            <w:tcBorders>
              <w:top w:val="nil"/>
              <w:left w:val="nil"/>
              <w:bottom w:val="nil"/>
              <w:right w:val="double" w:sz="6" w:space="0" w:color="auto"/>
            </w:tcBorders>
            <w:shd w:val="clear" w:color="auto" w:fill="auto"/>
            <w:noWrap/>
            <w:vAlign w:val="bottom"/>
            <w:hideMark/>
          </w:tcPr>
          <w:p w14:paraId="77CB8013"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102,33</w:t>
            </w:r>
          </w:p>
        </w:tc>
        <w:tc>
          <w:tcPr>
            <w:tcW w:w="1231" w:type="dxa"/>
            <w:tcBorders>
              <w:top w:val="nil"/>
              <w:left w:val="nil"/>
              <w:bottom w:val="nil"/>
              <w:right w:val="single" w:sz="4" w:space="0" w:color="auto"/>
            </w:tcBorders>
            <w:shd w:val="clear" w:color="auto" w:fill="auto"/>
            <w:noWrap/>
            <w:vAlign w:val="bottom"/>
            <w:hideMark/>
          </w:tcPr>
          <w:p w14:paraId="54FD4B04"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1,50</w:t>
            </w:r>
          </w:p>
        </w:tc>
        <w:tc>
          <w:tcPr>
            <w:tcW w:w="1179" w:type="dxa"/>
            <w:tcBorders>
              <w:top w:val="nil"/>
              <w:left w:val="nil"/>
              <w:bottom w:val="nil"/>
              <w:right w:val="double" w:sz="6" w:space="0" w:color="auto"/>
            </w:tcBorders>
            <w:shd w:val="clear" w:color="auto" w:fill="auto"/>
            <w:noWrap/>
            <w:vAlign w:val="bottom"/>
            <w:hideMark/>
          </w:tcPr>
          <w:p w14:paraId="1433CAD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102,24</w:t>
            </w:r>
          </w:p>
        </w:tc>
      </w:tr>
      <w:tr w:rsidR="0051435E" w:rsidRPr="006A6AB6" w14:paraId="4AC88156"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243994E6"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50121192"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3,38</w:t>
            </w:r>
          </w:p>
        </w:tc>
        <w:tc>
          <w:tcPr>
            <w:tcW w:w="1095" w:type="dxa"/>
            <w:tcBorders>
              <w:top w:val="nil"/>
              <w:left w:val="nil"/>
              <w:bottom w:val="nil"/>
              <w:right w:val="double" w:sz="6" w:space="0" w:color="auto"/>
            </w:tcBorders>
            <w:shd w:val="clear" w:color="auto" w:fill="auto"/>
            <w:noWrap/>
            <w:vAlign w:val="bottom"/>
            <w:hideMark/>
          </w:tcPr>
          <w:p w14:paraId="6038FBF5"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105,79</w:t>
            </w:r>
          </w:p>
        </w:tc>
        <w:tc>
          <w:tcPr>
            <w:tcW w:w="1231" w:type="dxa"/>
            <w:tcBorders>
              <w:top w:val="nil"/>
              <w:left w:val="nil"/>
              <w:bottom w:val="nil"/>
              <w:right w:val="single" w:sz="4" w:space="0" w:color="auto"/>
            </w:tcBorders>
            <w:shd w:val="clear" w:color="auto" w:fill="auto"/>
            <w:noWrap/>
            <w:vAlign w:val="bottom"/>
            <w:hideMark/>
          </w:tcPr>
          <w:p w14:paraId="0526D1C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3,47</w:t>
            </w:r>
          </w:p>
        </w:tc>
        <w:tc>
          <w:tcPr>
            <w:tcW w:w="1179" w:type="dxa"/>
            <w:tcBorders>
              <w:top w:val="nil"/>
              <w:left w:val="nil"/>
              <w:bottom w:val="nil"/>
              <w:right w:val="double" w:sz="6" w:space="0" w:color="auto"/>
            </w:tcBorders>
            <w:shd w:val="clear" w:color="auto" w:fill="auto"/>
            <w:noWrap/>
            <w:vAlign w:val="bottom"/>
            <w:hideMark/>
          </w:tcPr>
          <w:p w14:paraId="3D49943B"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105,79</w:t>
            </w:r>
          </w:p>
        </w:tc>
      </w:tr>
      <w:tr w:rsidR="0051435E" w:rsidRPr="006A6AB6" w14:paraId="761A34F2"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09169B49"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2011</w:t>
            </w:r>
          </w:p>
        </w:tc>
        <w:tc>
          <w:tcPr>
            <w:tcW w:w="1231" w:type="dxa"/>
            <w:tcBorders>
              <w:top w:val="nil"/>
              <w:left w:val="nil"/>
              <w:bottom w:val="nil"/>
              <w:right w:val="single" w:sz="4" w:space="0" w:color="auto"/>
            </w:tcBorders>
            <w:shd w:val="clear" w:color="auto" w:fill="auto"/>
            <w:noWrap/>
            <w:vAlign w:val="bottom"/>
            <w:hideMark/>
          </w:tcPr>
          <w:p w14:paraId="434FE73B"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2,33</w:t>
            </w:r>
          </w:p>
        </w:tc>
        <w:tc>
          <w:tcPr>
            <w:tcW w:w="1095" w:type="dxa"/>
            <w:tcBorders>
              <w:top w:val="nil"/>
              <w:left w:val="nil"/>
              <w:bottom w:val="nil"/>
              <w:right w:val="double" w:sz="6" w:space="0" w:color="auto"/>
            </w:tcBorders>
            <w:shd w:val="clear" w:color="auto" w:fill="auto"/>
            <w:noWrap/>
            <w:vAlign w:val="bottom"/>
            <w:hideMark/>
          </w:tcPr>
          <w:p w14:paraId="6B66A69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104,71</w:t>
            </w:r>
          </w:p>
        </w:tc>
        <w:tc>
          <w:tcPr>
            <w:tcW w:w="1231" w:type="dxa"/>
            <w:tcBorders>
              <w:top w:val="nil"/>
              <w:left w:val="nil"/>
              <w:bottom w:val="nil"/>
              <w:right w:val="single" w:sz="4" w:space="0" w:color="auto"/>
            </w:tcBorders>
            <w:shd w:val="clear" w:color="auto" w:fill="auto"/>
            <w:noWrap/>
            <w:vAlign w:val="bottom"/>
            <w:hideMark/>
          </w:tcPr>
          <w:p w14:paraId="5C12A94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2,30</w:t>
            </w:r>
          </w:p>
        </w:tc>
        <w:tc>
          <w:tcPr>
            <w:tcW w:w="1179" w:type="dxa"/>
            <w:tcBorders>
              <w:top w:val="nil"/>
              <w:left w:val="nil"/>
              <w:bottom w:val="nil"/>
              <w:right w:val="double" w:sz="6" w:space="0" w:color="auto"/>
            </w:tcBorders>
            <w:shd w:val="clear" w:color="auto" w:fill="auto"/>
            <w:noWrap/>
            <w:vAlign w:val="bottom"/>
            <w:hideMark/>
          </w:tcPr>
          <w:p w14:paraId="52F402B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104,60</w:t>
            </w:r>
          </w:p>
        </w:tc>
      </w:tr>
      <w:tr w:rsidR="0051435E" w:rsidRPr="006A6AB6" w14:paraId="68A143D4"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666E26C4"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2AD21AF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6,82</w:t>
            </w:r>
          </w:p>
        </w:tc>
        <w:tc>
          <w:tcPr>
            <w:tcW w:w="1095" w:type="dxa"/>
            <w:tcBorders>
              <w:top w:val="nil"/>
              <w:left w:val="nil"/>
              <w:bottom w:val="nil"/>
              <w:right w:val="double" w:sz="6" w:space="0" w:color="auto"/>
            </w:tcBorders>
            <w:shd w:val="clear" w:color="auto" w:fill="auto"/>
            <w:noWrap/>
            <w:vAlign w:val="bottom"/>
            <w:hideMark/>
          </w:tcPr>
          <w:p w14:paraId="5961A044"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111,86</w:t>
            </w:r>
          </w:p>
        </w:tc>
        <w:tc>
          <w:tcPr>
            <w:tcW w:w="1231" w:type="dxa"/>
            <w:tcBorders>
              <w:top w:val="nil"/>
              <w:left w:val="nil"/>
              <w:bottom w:val="nil"/>
              <w:right w:val="single" w:sz="4" w:space="0" w:color="auto"/>
            </w:tcBorders>
            <w:shd w:val="clear" w:color="auto" w:fill="auto"/>
            <w:noWrap/>
            <w:vAlign w:val="bottom"/>
            <w:hideMark/>
          </w:tcPr>
          <w:p w14:paraId="114E3A6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6,94</w:t>
            </w:r>
          </w:p>
        </w:tc>
        <w:tc>
          <w:tcPr>
            <w:tcW w:w="1179" w:type="dxa"/>
            <w:tcBorders>
              <w:top w:val="nil"/>
              <w:left w:val="nil"/>
              <w:bottom w:val="nil"/>
              <w:right w:val="double" w:sz="6" w:space="0" w:color="auto"/>
            </w:tcBorders>
            <w:shd w:val="clear" w:color="auto" w:fill="auto"/>
            <w:noWrap/>
            <w:vAlign w:val="bottom"/>
            <w:hideMark/>
          </w:tcPr>
          <w:p w14:paraId="01244CC1"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111,85</w:t>
            </w:r>
          </w:p>
        </w:tc>
      </w:tr>
      <w:tr w:rsidR="0051435E" w:rsidRPr="006A6AB6" w14:paraId="0680922F"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0DB4134E"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2012</w:t>
            </w:r>
          </w:p>
        </w:tc>
        <w:tc>
          <w:tcPr>
            <w:tcW w:w="1231" w:type="dxa"/>
            <w:tcBorders>
              <w:top w:val="nil"/>
              <w:left w:val="nil"/>
              <w:bottom w:val="nil"/>
              <w:right w:val="single" w:sz="4" w:space="0" w:color="auto"/>
            </w:tcBorders>
            <w:shd w:val="clear" w:color="auto" w:fill="auto"/>
            <w:noWrap/>
            <w:vAlign w:val="bottom"/>
            <w:hideMark/>
          </w:tcPr>
          <w:p w14:paraId="50555CD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2,00</w:t>
            </w:r>
          </w:p>
        </w:tc>
        <w:tc>
          <w:tcPr>
            <w:tcW w:w="1095" w:type="dxa"/>
            <w:tcBorders>
              <w:top w:val="nil"/>
              <w:left w:val="nil"/>
              <w:bottom w:val="nil"/>
              <w:right w:val="double" w:sz="6" w:space="0" w:color="auto"/>
            </w:tcBorders>
            <w:shd w:val="clear" w:color="auto" w:fill="auto"/>
            <w:noWrap/>
            <w:vAlign w:val="bottom"/>
            <w:hideMark/>
          </w:tcPr>
          <w:p w14:paraId="75D8A01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106,81</w:t>
            </w:r>
          </w:p>
        </w:tc>
        <w:tc>
          <w:tcPr>
            <w:tcW w:w="1231" w:type="dxa"/>
            <w:tcBorders>
              <w:top w:val="nil"/>
              <w:left w:val="nil"/>
              <w:bottom w:val="nil"/>
              <w:right w:val="single" w:sz="4" w:space="0" w:color="auto"/>
            </w:tcBorders>
            <w:shd w:val="clear" w:color="auto" w:fill="auto"/>
            <w:noWrap/>
            <w:vAlign w:val="bottom"/>
            <w:hideMark/>
          </w:tcPr>
          <w:p w14:paraId="128189D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2,00</w:t>
            </w:r>
          </w:p>
        </w:tc>
        <w:tc>
          <w:tcPr>
            <w:tcW w:w="1179" w:type="dxa"/>
            <w:tcBorders>
              <w:top w:val="nil"/>
              <w:left w:val="nil"/>
              <w:bottom w:val="nil"/>
              <w:right w:val="double" w:sz="6" w:space="0" w:color="auto"/>
            </w:tcBorders>
            <w:shd w:val="clear" w:color="auto" w:fill="auto"/>
            <w:noWrap/>
            <w:vAlign w:val="bottom"/>
            <w:hideMark/>
          </w:tcPr>
          <w:p w14:paraId="0E91B2A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106,69</w:t>
            </w:r>
          </w:p>
        </w:tc>
      </w:tr>
      <w:tr w:rsidR="0051435E" w:rsidRPr="006A6AB6" w14:paraId="5E988E79"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0D74C7CE"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5421DC3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6,72</w:t>
            </w:r>
          </w:p>
        </w:tc>
        <w:tc>
          <w:tcPr>
            <w:tcW w:w="1095" w:type="dxa"/>
            <w:tcBorders>
              <w:top w:val="nil"/>
              <w:left w:val="nil"/>
              <w:bottom w:val="nil"/>
              <w:right w:val="double" w:sz="6" w:space="0" w:color="auto"/>
            </w:tcBorders>
            <w:shd w:val="clear" w:color="auto" w:fill="auto"/>
            <w:noWrap/>
            <w:vAlign w:val="bottom"/>
            <w:hideMark/>
          </w:tcPr>
          <w:p w14:paraId="3208F9A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113,99</w:t>
            </w:r>
          </w:p>
        </w:tc>
        <w:tc>
          <w:tcPr>
            <w:tcW w:w="1231" w:type="dxa"/>
            <w:tcBorders>
              <w:top w:val="nil"/>
              <w:left w:val="nil"/>
              <w:bottom w:val="nil"/>
              <w:right w:val="single" w:sz="4" w:space="0" w:color="auto"/>
            </w:tcBorders>
            <w:shd w:val="clear" w:color="auto" w:fill="auto"/>
            <w:noWrap/>
            <w:vAlign w:val="bottom"/>
            <w:hideMark/>
          </w:tcPr>
          <w:p w14:paraId="1D5F2C54"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6,84</w:t>
            </w:r>
          </w:p>
        </w:tc>
        <w:tc>
          <w:tcPr>
            <w:tcW w:w="1179" w:type="dxa"/>
            <w:tcBorders>
              <w:top w:val="nil"/>
              <w:left w:val="nil"/>
              <w:bottom w:val="nil"/>
              <w:right w:val="double" w:sz="6" w:space="0" w:color="auto"/>
            </w:tcBorders>
            <w:shd w:val="clear" w:color="auto" w:fill="auto"/>
            <w:noWrap/>
            <w:vAlign w:val="bottom"/>
            <w:hideMark/>
          </w:tcPr>
          <w:p w14:paraId="67345B1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113,99</w:t>
            </w:r>
          </w:p>
        </w:tc>
      </w:tr>
      <w:tr w:rsidR="0051435E" w:rsidRPr="006A6AB6" w14:paraId="3D5E3373"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1D9EAC79"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2013</w:t>
            </w:r>
          </w:p>
        </w:tc>
        <w:tc>
          <w:tcPr>
            <w:tcW w:w="1231" w:type="dxa"/>
            <w:tcBorders>
              <w:top w:val="nil"/>
              <w:left w:val="nil"/>
              <w:bottom w:val="nil"/>
              <w:right w:val="single" w:sz="4" w:space="0" w:color="auto"/>
            </w:tcBorders>
            <w:shd w:val="clear" w:color="auto" w:fill="auto"/>
            <w:noWrap/>
            <w:vAlign w:val="bottom"/>
            <w:hideMark/>
          </w:tcPr>
          <w:p w14:paraId="6B4B62BD"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2,00</w:t>
            </w:r>
          </w:p>
        </w:tc>
        <w:tc>
          <w:tcPr>
            <w:tcW w:w="1095" w:type="dxa"/>
            <w:tcBorders>
              <w:top w:val="nil"/>
              <w:left w:val="nil"/>
              <w:bottom w:val="nil"/>
              <w:right w:val="double" w:sz="6" w:space="0" w:color="auto"/>
            </w:tcBorders>
            <w:shd w:val="clear" w:color="auto" w:fill="auto"/>
            <w:noWrap/>
            <w:vAlign w:val="bottom"/>
            <w:hideMark/>
          </w:tcPr>
          <w:p w14:paraId="4617E31F"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108,95</w:t>
            </w:r>
          </w:p>
        </w:tc>
        <w:tc>
          <w:tcPr>
            <w:tcW w:w="1231" w:type="dxa"/>
            <w:tcBorders>
              <w:top w:val="nil"/>
              <w:left w:val="nil"/>
              <w:bottom w:val="nil"/>
              <w:right w:val="single" w:sz="4" w:space="0" w:color="auto"/>
            </w:tcBorders>
            <w:shd w:val="clear" w:color="auto" w:fill="auto"/>
            <w:noWrap/>
            <w:vAlign w:val="bottom"/>
            <w:hideMark/>
          </w:tcPr>
          <w:p w14:paraId="1D70FCD9"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2,00</w:t>
            </w:r>
          </w:p>
        </w:tc>
        <w:tc>
          <w:tcPr>
            <w:tcW w:w="1179" w:type="dxa"/>
            <w:tcBorders>
              <w:top w:val="nil"/>
              <w:left w:val="nil"/>
              <w:bottom w:val="nil"/>
              <w:right w:val="double" w:sz="6" w:space="0" w:color="auto"/>
            </w:tcBorders>
            <w:shd w:val="clear" w:color="auto" w:fill="auto"/>
            <w:noWrap/>
            <w:vAlign w:val="bottom"/>
            <w:hideMark/>
          </w:tcPr>
          <w:p w14:paraId="12A0C97B"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108,82</w:t>
            </w:r>
          </w:p>
        </w:tc>
      </w:tr>
      <w:tr w:rsidR="0051435E" w:rsidRPr="006A6AB6" w14:paraId="076E4496"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61E88C5B"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315D6723"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7,45</w:t>
            </w:r>
          </w:p>
        </w:tc>
        <w:tc>
          <w:tcPr>
            <w:tcW w:w="1095" w:type="dxa"/>
            <w:tcBorders>
              <w:top w:val="nil"/>
              <w:left w:val="nil"/>
              <w:bottom w:val="nil"/>
              <w:right w:val="double" w:sz="6" w:space="0" w:color="auto"/>
            </w:tcBorders>
            <w:shd w:val="clear" w:color="auto" w:fill="auto"/>
            <w:noWrap/>
            <w:vAlign w:val="bottom"/>
            <w:hideMark/>
          </w:tcPr>
          <w:p w14:paraId="674A68A7"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117,06</w:t>
            </w:r>
          </w:p>
        </w:tc>
        <w:tc>
          <w:tcPr>
            <w:tcW w:w="1231" w:type="dxa"/>
            <w:tcBorders>
              <w:top w:val="nil"/>
              <w:left w:val="nil"/>
              <w:bottom w:val="nil"/>
              <w:right w:val="single" w:sz="4" w:space="0" w:color="auto"/>
            </w:tcBorders>
            <w:shd w:val="clear" w:color="auto" w:fill="auto"/>
            <w:noWrap/>
            <w:vAlign w:val="bottom"/>
            <w:hideMark/>
          </w:tcPr>
          <w:p w14:paraId="2C9DBEB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7,57</w:t>
            </w:r>
          </w:p>
        </w:tc>
        <w:tc>
          <w:tcPr>
            <w:tcW w:w="1179" w:type="dxa"/>
            <w:tcBorders>
              <w:top w:val="nil"/>
              <w:left w:val="nil"/>
              <w:bottom w:val="nil"/>
              <w:right w:val="double" w:sz="6" w:space="0" w:color="auto"/>
            </w:tcBorders>
            <w:shd w:val="clear" w:color="auto" w:fill="auto"/>
            <w:noWrap/>
            <w:vAlign w:val="bottom"/>
            <w:hideMark/>
          </w:tcPr>
          <w:p w14:paraId="3AA92E9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117,06</w:t>
            </w:r>
          </w:p>
        </w:tc>
      </w:tr>
      <w:tr w:rsidR="0051435E" w:rsidRPr="006A6AB6" w14:paraId="01FB2258"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2C49D229"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2014</w:t>
            </w:r>
          </w:p>
        </w:tc>
        <w:tc>
          <w:tcPr>
            <w:tcW w:w="1231" w:type="dxa"/>
            <w:tcBorders>
              <w:top w:val="nil"/>
              <w:left w:val="nil"/>
              <w:bottom w:val="nil"/>
              <w:right w:val="single" w:sz="4" w:space="0" w:color="auto"/>
            </w:tcBorders>
            <w:shd w:val="clear" w:color="auto" w:fill="auto"/>
            <w:noWrap/>
            <w:vAlign w:val="bottom"/>
            <w:hideMark/>
          </w:tcPr>
          <w:p w14:paraId="2710340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3,00</w:t>
            </w:r>
          </w:p>
        </w:tc>
        <w:tc>
          <w:tcPr>
            <w:tcW w:w="1095" w:type="dxa"/>
            <w:tcBorders>
              <w:top w:val="nil"/>
              <w:left w:val="nil"/>
              <w:bottom w:val="nil"/>
              <w:right w:val="double" w:sz="6" w:space="0" w:color="auto"/>
            </w:tcBorders>
            <w:shd w:val="clear" w:color="auto" w:fill="auto"/>
            <w:noWrap/>
            <w:vAlign w:val="bottom"/>
            <w:hideMark/>
          </w:tcPr>
          <w:p w14:paraId="33A9C9A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112,21</w:t>
            </w:r>
          </w:p>
        </w:tc>
        <w:tc>
          <w:tcPr>
            <w:tcW w:w="1231" w:type="dxa"/>
            <w:tcBorders>
              <w:top w:val="nil"/>
              <w:left w:val="nil"/>
              <w:bottom w:val="nil"/>
              <w:right w:val="single" w:sz="4" w:space="0" w:color="auto"/>
            </w:tcBorders>
            <w:shd w:val="clear" w:color="auto" w:fill="auto"/>
            <w:noWrap/>
            <w:vAlign w:val="bottom"/>
            <w:hideMark/>
          </w:tcPr>
          <w:p w14:paraId="13AA4AAA"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3,00</w:t>
            </w:r>
          </w:p>
        </w:tc>
        <w:tc>
          <w:tcPr>
            <w:tcW w:w="1179" w:type="dxa"/>
            <w:tcBorders>
              <w:top w:val="nil"/>
              <w:left w:val="nil"/>
              <w:bottom w:val="nil"/>
              <w:right w:val="double" w:sz="6" w:space="0" w:color="auto"/>
            </w:tcBorders>
            <w:shd w:val="clear" w:color="auto" w:fill="auto"/>
            <w:noWrap/>
            <w:vAlign w:val="bottom"/>
            <w:hideMark/>
          </w:tcPr>
          <w:p w14:paraId="06FF0F5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112,09</w:t>
            </w:r>
          </w:p>
        </w:tc>
      </w:tr>
      <w:tr w:rsidR="0051435E" w:rsidRPr="006A6AB6" w14:paraId="1C23CC81"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1A6138E0"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1ECFB7FB"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7,24</w:t>
            </w:r>
          </w:p>
        </w:tc>
        <w:tc>
          <w:tcPr>
            <w:tcW w:w="1095" w:type="dxa"/>
            <w:tcBorders>
              <w:top w:val="nil"/>
              <w:left w:val="nil"/>
              <w:bottom w:val="nil"/>
              <w:right w:val="double" w:sz="6" w:space="0" w:color="auto"/>
            </w:tcBorders>
            <w:shd w:val="clear" w:color="auto" w:fill="auto"/>
            <w:noWrap/>
            <w:vAlign w:val="bottom"/>
            <w:hideMark/>
          </w:tcPr>
          <w:p w14:paraId="21D1D10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120,34</w:t>
            </w:r>
          </w:p>
        </w:tc>
        <w:tc>
          <w:tcPr>
            <w:tcW w:w="1231" w:type="dxa"/>
            <w:tcBorders>
              <w:top w:val="nil"/>
              <w:left w:val="nil"/>
              <w:bottom w:val="nil"/>
              <w:right w:val="single" w:sz="4" w:space="0" w:color="auto"/>
            </w:tcBorders>
            <w:shd w:val="clear" w:color="auto" w:fill="auto"/>
            <w:noWrap/>
            <w:vAlign w:val="bottom"/>
            <w:hideMark/>
          </w:tcPr>
          <w:p w14:paraId="094DDAC2"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7,36</w:t>
            </w:r>
          </w:p>
        </w:tc>
        <w:tc>
          <w:tcPr>
            <w:tcW w:w="1179" w:type="dxa"/>
            <w:tcBorders>
              <w:top w:val="nil"/>
              <w:left w:val="nil"/>
              <w:bottom w:val="nil"/>
              <w:right w:val="double" w:sz="6" w:space="0" w:color="auto"/>
            </w:tcBorders>
            <w:shd w:val="clear" w:color="auto" w:fill="auto"/>
            <w:noWrap/>
            <w:vAlign w:val="bottom"/>
            <w:hideMark/>
          </w:tcPr>
          <w:p w14:paraId="0ACE01B2"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120,34</w:t>
            </w:r>
          </w:p>
        </w:tc>
      </w:tr>
      <w:tr w:rsidR="0051435E" w:rsidRPr="006A6AB6" w14:paraId="66960A50"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2469253D" w14:textId="77777777" w:rsidR="0051435E" w:rsidRPr="006A6AB6" w:rsidRDefault="0051435E" w:rsidP="00150EED">
            <w:pPr>
              <w:overflowPunct/>
              <w:autoSpaceDE/>
              <w:autoSpaceDN/>
              <w:adjustRightInd/>
              <w:jc w:val="center"/>
              <w:textAlignment w:val="auto"/>
              <w:rPr>
                <w:rFonts w:ascii="Arial" w:hAnsi="Arial" w:cs="Arial"/>
                <w:color w:val="000000"/>
                <w:sz w:val="18"/>
                <w:szCs w:val="18"/>
              </w:rPr>
            </w:pPr>
            <w:r w:rsidRPr="006A6AB6">
              <w:rPr>
                <w:rFonts w:ascii="Arial" w:hAnsi="Arial" w:cs="Arial"/>
                <w:color w:val="000000"/>
                <w:sz w:val="18"/>
                <w:szCs w:val="18"/>
              </w:rPr>
              <w:t>2015</w:t>
            </w:r>
          </w:p>
        </w:tc>
        <w:tc>
          <w:tcPr>
            <w:tcW w:w="1231" w:type="dxa"/>
            <w:tcBorders>
              <w:top w:val="nil"/>
              <w:left w:val="nil"/>
              <w:bottom w:val="nil"/>
              <w:right w:val="single" w:sz="4" w:space="0" w:color="auto"/>
            </w:tcBorders>
            <w:shd w:val="clear" w:color="auto" w:fill="auto"/>
            <w:noWrap/>
            <w:vAlign w:val="bottom"/>
            <w:hideMark/>
          </w:tcPr>
          <w:p w14:paraId="70C66DB9"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3,00</w:t>
            </w:r>
          </w:p>
        </w:tc>
        <w:tc>
          <w:tcPr>
            <w:tcW w:w="1095" w:type="dxa"/>
            <w:tcBorders>
              <w:top w:val="nil"/>
              <w:left w:val="nil"/>
              <w:bottom w:val="nil"/>
              <w:right w:val="double" w:sz="6" w:space="0" w:color="auto"/>
            </w:tcBorders>
            <w:shd w:val="clear" w:color="auto" w:fill="auto"/>
            <w:noWrap/>
            <w:vAlign w:val="bottom"/>
            <w:hideMark/>
          </w:tcPr>
          <w:p w14:paraId="076C46E0"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115,58</w:t>
            </w:r>
          </w:p>
        </w:tc>
        <w:tc>
          <w:tcPr>
            <w:tcW w:w="1231" w:type="dxa"/>
            <w:tcBorders>
              <w:top w:val="nil"/>
              <w:left w:val="nil"/>
              <w:bottom w:val="nil"/>
              <w:right w:val="single" w:sz="4" w:space="0" w:color="auto"/>
            </w:tcBorders>
            <w:shd w:val="clear" w:color="auto" w:fill="auto"/>
            <w:noWrap/>
            <w:vAlign w:val="bottom"/>
            <w:hideMark/>
          </w:tcPr>
          <w:p w14:paraId="5FE7ABCE"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3,00</w:t>
            </w:r>
          </w:p>
        </w:tc>
        <w:tc>
          <w:tcPr>
            <w:tcW w:w="1179" w:type="dxa"/>
            <w:tcBorders>
              <w:top w:val="nil"/>
              <w:left w:val="nil"/>
              <w:bottom w:val="nil"/>
              <w:right w:val="double" w:sz="6" w:space="0" w:color="auto"/>
            </w:tcBorders>
            <w:shd w:val="clear" w:color="auto" w:fill="auto"/>
            <w:noWrap/>
            <w:vAlign w:val="bottom"/>
            <w:hideMark/>
          </w:tcPr>
          <w:p w14:paraId="55B6F306"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115,45</w:t>
            </w:r>
          </w:p>
        </w:tc>
      </w:tr>
      <w:tr w:rsidR="0051435E" w:rsidRPr="006A6AB6" w14:paraId="5F57CE87" w14:textId="77777777" w:rsidTr="00150EED">
        <w:trPr>
          <w:trHeight w:val="288"/>
        </w:trPr>
        <w:tc>
          <w:tcPr>
            <w:tcW w:w="1620" w:type="dxa"/>
            <w:tcBorders>
              <w:top w:val="nil"/>
              <w:left w:val="double" w:sz="6" w:space="0" w:color="auto"/>
              <w:bottom w:val="nil"/>
              <w:right w:val="double" w:sz="6" w:space="0" w:color="auto"/>
            </w:tcBorders>
            <w:shd w:val="clear" w:color="000000" w:fill="D9D9D9"/>
            <w:noWrap/>
            <w:vAlign w:val="bottom"/>
            <w:hideMark/>
          </w:tcPr>
          <w:p w14:paraId="251696CD" w14:textId="77777777" w:rsidR="0051435E" w:rsidRPr="00E94361" w:rsidRDefault="0051435E" w:rsidP="00150EED">
            <w:pPr>
              <w:overflowPunct/>
              <w:autoSpaceDE/>
              <w:autoSpaceDN/>
              <w:adjustRightInd/>
              <w:jc w:val="center"/>
              <w:textAlignment w:val="auto"/>
              <w:rPr>
                <w:rFonts w:ascii="Arial" w:hAnsi="Arial" w:cs="Arial"/>
                <w:b/>
                <w:color w:val="000000"/>
                <w:sz w:val="18"/>
                <w:szCs w:val="18"/>
              </w:rPr>
            </w:pPr>
            <w:r w:rsidRPr="00E94361">
              <w:rPr>
                <w:rFonts w:ascii="Arial" w:hAnsi="Arial" w:cs="Arial"/>
                <w:b/>
                <w:color w:val="000000"/>
                <w:sz w:val="18"/>
                <w:szCs w:val="18"/>
              </w:rPr>
              <w:t>Reparatur</w:t>
            </w:r>
          </w:p>
        </w:tc>
        <w:tc>
          <w:tcPr>
            <w:tcW w:w="1231" w:type="dxa"/>
            <w:tcBorders>
              <w:top w:val="nil"/>
              <w:left w:val="nil"/>
              <w:bottom w:val="nil"/>
              <w:right w:val="single" w:sz="4" w:space="0" w:color="auto"/>
            </w:tcBorders>
            <w:shd w:val="clear" w:color="auto" w:fill="auto"/>
            <w:noWrap/>
            <w:vAlign w:val="bottom"/>
            <w:hideMark/>
          </w:tcPr>
          <w:p w14:paraId="6EA3F3F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4,73</w:t>
            </w:r>
          </w:p>
        </w:tc>
        <w:tc>
          <w:tcPr>
            <w:tcW w:w="1095" w:type="dxa"/>
            <w:tcBorders>
              <w:top w:val="nil"/>
              <w:left w:val="nil"/>
              <w:bottom w:val="nil"/>
              <w:right w:val="double" w:sz="6" w:space="0" w:color="auto"/>
            </w:tcBorders>
            <w:shd w:val="clear" w:color="auto" w:fill="auto"/>
            <w:noWrap/>
            <w:vAlign w:val="bottom"/>
            <w:hideMark/>
          </w:tcPr>
          <w:p w14:paraId="22D40F9F" w14:textId="77777777" w:rsidR="0051435E" w:rsidRPr="00E94361" w:rsidRDefault="0051435E" w:rsidP="00150EED">
            <w:pPr>
              <w:overflowPunct/>
              <w:autoSpaceDE/>
              <w:autoSpaceDN/>
              <w:adjustRightInd/>
              <w:jc w:val="right"/>
              <w:textAlignment w:val="auto"/>
              <w:rPr>
                <w:rFonts w:ascii="Arial" w:hAnsi="Arial" w:cs="Arial"/>
                <w:b/>
                <w:color w:val="000000"/>
                <w:sz w:val="18"/>
                <w:szCs w:val="18"/>
              </w:rPr>
            </w:pPr>
            <w:r w:rsidRPr="00E94361">
              <w:rPr>
                <w:rFonts w:ascii="Arial" w:hAnsi="Arial" w:cs="Arial"/>
                <w:b/>
                <w:color w:val="000000"/>
                <w:sz w:val="18"/>
                <w:szCs w:val="18"/>
              </w:rPr>
              <w:t>121,05</w:t>
            </w:r>
          </w:p>
        </w:tc>
        <w:tc>
          <w:tcPr>
            <w:tcW w:w="1231" w:type="dxa"/>
            <w:tcBorders>
              <w:top w:val="nil"/>
              <w:left w:val="nil"/>
              <w:bottom w:val="nil"/>
              <w:right w:val="single" w:sz="4" w:space="0" w:color="auto"/>
            </w:tcBorders>
            <w:shd w:val="clear" w:color="auto" w:fill="auto"/>
            <w:noWrap/>
            <w:vAlign w:val="bottom"/>
            <w:hideMark/>
          </w:tcPr>
          <w:p w14:paraId="3C681104"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4,85</w:t>
            </w:r>
          </w:p>
        </w:tc>
        <w:tc>
          <w:tcPr>
            <w:tcW w:w="1179" w:type="dxa"/>
            <w:tcBorders>
              <w:top w:val="nil"/>
              <w:left w:val="nil"/>
              <w:bottom w:val="nil"/>
              <w:right w:val="double" w:sz="6" w:space="0" w:color="auto"/>
            </w:tcBorders>
            <w:shd w:val="clear" w:color="auto" w:fill="auto"/>
            <w:noWrap/>
            <w:vAlign w:val="bottom"/>
            <w:hideMark/>
          </w:tcPr>
          <w:p w14:paraId="7F61A083" w14:textId="77777777" w:rsidR="0051435E" w:rsidRPr="00E94361" w:rsidRDefault="0051435E" w:rsidP="00150EED">
            <w:pPr>
              <w:overflowPunct/>
              <w:autoSpaceDE/>
              <w:autoSpaceDN/>
              <w:adjustRightInd/>
              <w:jc w:val="right"/>
              <w:textAlignment w:val="auto"/>
              <w:rPr>
                <w:rFonts w:ascii="Arial" w:hAnsi="Arial" w:cs="Arial"/>
                <w:b/>
                <w:color w:val="000000"/>
                <w:sz w:val="18"/>
                <w:szCs w:val="18"/>
              </w:rPr>
            </w:pPr>
            <w:r w:rsidRPr="00E94361">
              <w:rPr>
                <w:rFonts w:ascii="Arial" w:hAnsi="Arial" w:cs="Arial"/>
                <w:b/>
                <w:color w:val="000000"/>
                <w:sz w:val="18"/>
                <w:szCs w:val="18"/>
              </w:rPr>
              <w:t>121,05</w:t>
            </w:r>
          </w:p>
        </w:tc>
      </w:tr>
      <w:tr w:rsidR="0051435E" w:rsidRPr="006A6AB6" w14:paraId="3F7EC23C" w14:textId="77777777" w:rsidTr="00150EED">
        <w:trPr>
          <w:trHeight w:val="300"/>
        </w:trPr>
        <w:tc>
          <w:tcPr>
            <w:tcW w:w="1620" w:type="dxa"/>
            <w:tcBorders>
              <w:top w:val="nil"/>
              <w:left w:val="double" w:sz="6" w:space="0" w:color="auto"/>
              <w:bottom w:val="nil"/>
              <w:right w:val="double" w:sz="6" w:space="0" w:color="auto"/>
            </w:tcBorders>
            <w:shd w:val="clear" w:color="000000" w:fill="D9D9D9"/>
            <w:noWrap/>
            <w:vAlign w:val="bottom"/>
            <w:hideMark/>
          </w:tcPr>
          <w:p w14:paraId="469B0482" w14:textId="77777777" w:rsidR="0051435E" w:rsidRPr="00E94361" w:rsidRDefault="0051435E" w:rsidP="00150EED">
            <w:pPr>
              <w:overflowPunct/>
              <w:autoSpaceDE/>
              <w:autoSpaceDN/>
              <w:adjustRightInd/>
              <w:jc w:val="center"/>
              <w:textAlignment w:val="auto"/>
              <w:rPr>
                <w:rFonts w:ascii="Arial" w:hAnsi="Arial" w:cs="Arial"/>
                <w:b/>
                <w:color w:val="000000"/>
                <w:sz w:val="18"/>
                <w:szCs w:val="18"/>
              </w:rPr>
            </w:pPr>
            <w:r w:rsidRPr="00E94361">
              <w:rPr>
                <w:rFonts w:ascii="Arial" w:hAnsi="Arial" w:cs="Arial"/>
                <w:b/>
                <w:color w:val="000000"/>
                <w:sz w:val="18"/>
                <w:szCs w:val="18"/>
              </w:rPr>
              <w:lastRenderedPageBreak/>
              <w:t>2016</w:t>
            </w:r>
          </w:p>
        </w:tc>
        <w:tc>
          <w:tcPr>
            <w:tcW w:w="1231" w:type="dxa"/>
            <w:tcBorders>
              <w:top w:val="nil"/>
              <w:left w:val="nil"/>
              <w:bottom w:val="nil"/>
              <w:right w:val="single" w:sz="4" w:space="0" w:color="auto"/>
            </w:tcBorders>
            <w:shd w:val="clear" w:color="auto" w:fill="auto"/>
            <w:noWrap/>
            <w:vAlign w:val="bottom"/>
            <w:hideMark/>
          </w:tcPr>
          <w:p w14:paraId="4408C58B"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2,80</w:t>
            </w:r>
          </w:p>
        </w:tc>
        <w:tc>
          <w:tcPr>
            <w:tcW w:w="1095" w:type="dxa"/>
            <w:tcBorders>
              <w:top w:val="nil"/>
              <w:left w:val="nil"/>
              <w:bottom w:val="nil"/>
              <w:right w:val="double" w:sz="6" w:space="0" w:color="auto"/>
            </w:tcBorders>
            <w:shd w:val="clear" w:color="auto" w:fill="auto"/>
            <w:noWrap/>
            <w:vAlign w:val="bottom"/>
            <w:hideMark/>
          </w:tcPr>
          <w:p w14:paraId="1F8F48EE" w14:textId="77777777" w:rsidR="0051435E" w:rsidRPr="00E94361" w:rsidRDefault="0051435E" w:rsidP="00150EED">
            <w:pPr>
              <w:overflowPunct/>
              <w:autoSpaceDE/>
              <w:autoSpaceDN/>
              <w:adjustRightInd/>
              <w:jc w:val="right"/>
              <w:textAlignment w:val="auto"/>
              <w:rPr>
                <w:rFonts w:ascii="Arial" w:hAnsi="Arial" w:cs="Arial"/>
                <w:b/>
                <w:color w:val="000000"/>
                <w:sz w:val="18"/>
                <w:szCs w:val="18"/>
              </w:rPr>
            </w:pPr>
            <w:r w:rsidRPr="00E94361">
              <w:rPr>
                <w:rFonts w:ascii="Arial" w:hAnsi="Arial" w:cs="Arial"/>
                <w:b/>
                <w:color w:val="000000"/>
                <w:sz w:val="18"/>
                <w:szCs w:val="18"/>
              </w:rPr>
              <w:t>118,82</w:t>
            </w:r>
          </w:p>
        </w:tc>
        <w:tc>
          <w:tcPr>
            <w:tcW w:w="1231" w:type="dxa"/>
            <w:tcBorders>
              <w:top w:val="nil"/>
              <w:left w:val="nil"/>
              <w:bottom w:val="nil"/>
              <w:right w:val="single" w:sz="4" w:space="0" w:color="auto"/>
            </w:tcBorders>
            <w:shd w:val="clear" w:color="auto" w:fill="auto"/>
            <w:noWrap/>
            <w:vAlign w:val="bottom"/>
            <w:hideMark/>
          </w:tcPr>
          <w:p w14:paraId="56ED875C" w14:textId="77777777" w:rsidR="0051435E" w:rsidRPr="006A6AB6" w:rsidRDefault="0051435E" w:rsidP="00150EED">
            <w:pPr>
              <w:overflowPunct/>
              <w:autoSpaceDE/>
              <w:autoSpaceDN/>
              <w:adjustRightInd/>
              <w:jc w:val="right"/>
              <w:textAlignment w:val="auto"/>
              <w:rPr>
                <w:rFonts w:ascii="Arial" w:hAnsi="Arial" w:cs="Arial"/>
                <w:color w:val="000000"/>
                <w:sz w:val="18"/>
                <w:szCs w:val="18"/>
              </w:rPr>
            </w:pPr>
            <w:r w:rsidRPr="006A6AB6">
              <w:rPr>
                <w:rFonts w:ascii="Arial" w:hAnsi="Arial" w:cs="Arial"/>
                <w:color w:val="000000"/>
                <w:sz w:val="18"/>
                <w:szCs w:val="18"/>
              </w:rPr>
              <w:t>2,80</w:t>
            </w:r>
          </w:p>
        </w:tc>
        <w:tc>
          <w:tcPr>
            <w:tcW w:w="1179" w:type="dxa"/>
            <w:tcBorders>
              <w:top w:val="nil"/>
              <w:left w:val="nil"/>
              <w:bottom w:val="nil"/>
              <w:right w:val="double" w:sz="6" w:space="0" w:color="auto"/>
            </w:tcBorders>
            <w:shd w:val="clear" w:color="auto" w:fill="auto"/>
            <w:noWrap/>
            <w:vAlign w:val="bottom"/>
            <w:hideMark/>
          </w:tcPr>
          <w:p w14:paraId="716EB766" w14:textId="77777777" w:rsidR="0051435E" w:rsidRPr="00E94361" w:rsidRDefault="0051435E" w:rsidP="00150EED">
            <w:pPr>
              <w:overflowPunct/>
              <w:autoSpaceDE/>
              <w:autoSpaceDN/>
              <w:adjustRightInd/>
              <w:jc w:val="right"/>
              <w:textAlignment w:val="auto"/>
              <w:rPr>
                <w:rFonts w:ascii="Arial" w:hAnsi="Arial" w:cs="Arial"/>
                <w:b/>
                <w:color w:val="000000"/>
                <w:sz w:val="18"/>
                <w:szCs w:val="18"/>
              </w:rPr>
            </w:pPr>
            <w:r w:rsidRPr="00E94361">
              <w:rPr>
                <w:rFonts w:ascii="Arial" w:hAnsi="Arial" w:cs="Arial"/>
                <w:b/>
                <w:color w:val="000000"/>
                <w:sz w:val="18"/>
                <w:szCs w:val="18"/>
              </w:rPr>
              <w:t>118,68</w:t>
            </w:r>
          </w:p>
        </w:tc>
      </w:tr>
      <w:tr w:rsidR="0051435E" w:rsidRPr="006A6AB6" w14:paraId="53A5BF32" w14:textId="77777777" w:rsidTr="00150EED">
        <w:trPr>
          <w:trHeight w:val="312"/>
        </w:trPr>
        <w:tc>
          <w:tcPr>
            <w:tcW w:w="2851" w:type="dxa"/>
            <w:gridSpan w:val="2"/>
            <w:tcBorders>
              <w:top w:val="single" w:sz="12" w:space="0" w:color="auto"/>
              <w:left w:val="double" w:sz="6" w:space="0" w:color="auto"/>
              <w:bottom w:val="double" w:sz="6" w:space="0" w:color="auto"/>
              <w:right w:val="nil"/>
            </w:tcBorders>
            <w:shd w:val="clear" w:color="auto" w:fill="auto"/>
            <w:noWrap/>
            <w:vAlign w:val="center"/>
            <w:hideMark/>
          </w:tcPr>
          <w:p w14:paraId="038116A3" w14:textId="77777777" w:rsidR="0051435E" w:rsidRPr="006A6AB6" w:rsidRDefault="0051435E" w:rsidP="00150EED">
            <w:pPr>
              <w:overflowPunct/>
              <w:autoSpaceDE/>
              <w:autoSpaceDN/>
              <w:adjustRightInd/>
              <w:textAlignment w:val="auto"/>
              <w:rPr>
                <w:rFonts w:ascii="Arial" w:hAnsi="Arial" w:cs="Arial"/>
                <w:b/>
                <w:bCs/>
                <w:color w:val="000000"/>
                <w:sz w:val="18"/>
                <w:szCs w:val="18"/>
              </w:rPr>
            </w:pPr>
            <w:r w:rsidRPr="006A6AB6">
              <w:rPr>
                <w:rFonts w:ascii="Arial" w:hAnsi="Arial" w:cs="Arial"/>
                <w:b/>
                <w:bCs/>
                <w:color w:val="000000"/>
                <w:sz w:val="18"/>
                <w:szCs w:val="18"/>
              </w:rPr>
              <w:t>Absenkung um</w:t>
            </w:r>
          </w:p>
        </w:tc>
        <w:tc>
          <w:tcPr>
            <w:tcW w:w="1095" w:type="dxa"/>
            <w:tcBorders>
              <w:top w:val="single" w:sz="12" w:space="0" w:color="auto"/>
              <w:left w:val="nil"/>
              <w:bottom w:val="double" w:sz="6" w:space="0" w:color="auto"/>
              <w:right w:val="double" w:sz="6" w:space="0" w:color="auto"/>
            </w:tcBorders>
            <w:shd w:val="clear" w:color="auto" w:fill="auto"/>
            <w:noWrap/>
            <w:vAlign w:val="center"/>
            <w:hideMark/>
          </w:tcPr>
          <w:p w14:paraId="0A4E2B48" w14:textId="77777777" w:rsidR="0051435E" w:rsidRPr="006A6AB6" w:rsidRDefault="0051435E" w:rsidP="00150EED">
            <w:pPr>
              <w:overflowPunct/>
              <w:autoSpaceDE/>
              <w:autoSpaceDN/>
              <w:adjustRightInd/>
              <w:jc w:val="right"/>
              <w:textAlignment w:val="auto"/>
              <w:rPr>
                <w:rFonts w:ascii="Arial" w:hAnsi="Arial" w:cs="Arial"/>
                <w:b/>
                <w:bCs/>
                <w:color w:val="000000"/>
                <w:sz w:val="18"/>
                <w:szCs w:val="18"/>
              </w:rPr>
            </w:pPr>
            <w:r w:rsidRPr="006A6AB6">
              <w:rPr>
                <w:rFonts w:ascii="Arial" w:hAnsi="Arial" w:cs="Arial"/>
                <w:b/>
                <w:bCs/>
                <w:color w:val="000000"/>
                <w:sz w:val="18"/>
                <w:szCs w:val="18"/>
              </w:rPr>
              <w:t>-2,23</w:t>
            </w:r>
          </w:p>
        </w:tc>
        <w:tc>
          <w:tcPr>
            <w:tcW w:w="1231" w:type="dxa"/>
            <w:tcBorders>
              <w:top w:val="single" w:sz="12" w:space="0" w:color="auto"/>
              <w:left w:val="nil"/>
              <w:bottom w:val="double" w:sz="6" w:space="0" w:color="auto"/>
              <w:right w:val="nil"/>
            </w:tcBorders>
            <w:shd w:val="clear" w:color="auto" w:fill="auto"/>
            <w:noWrap/>
            <w:vAlign w:val="center"/>
            <w:hideMark/>
          </w:tcPr>
          <w:p w14:paraId="73DF283E" w14:textId="77777777" w:rsidR="0051435E" w:rsidRPr="006A6AB6" w:rsidRDefault="0051435E" w:rsidP="00150EED">
            <w:pPr>
              <w:overflowPunct/>
              <w:autoSpaceDE/>
              <w:autoSpaceDN/>
              <w:adjustRightInd/>
              <w:textAlignment w:val="auto"/>
              <w:rPr>
                <w:rFonts w:ascii="Arial" w:hAnsi="Arial" w:cs="Arial"/>
                <w:color w:val="000000"/>
                <w:sz w:val="18"/>
                <w:szCs w:val="18"/>
              </w:rPr>
            </w:pPr>
            <w:r w:rsidRPr="006A6AB6">
              <w:rPr>
                <w:rFonts w:ascii="Arial" w:hAnsi="Arial" w:cs="Arial"/>
                <w:color w:val="000000"/>
                <w:sz w:val="18"/>
                <w:szCs w:val="18"/>
              </w:rPr>
              <w:t> </w:t>
            </w:r>
          </w:p>
        </w:tc>
        <w:tc>
          <w:tcPr>
            <w:tcW w:w="1179" w:type="dxa"/>
            <w:tcBorders>
              <w:top w:val="single" w:sz="12" w:space="0" w:color="auto"/>
              <w:left w:val="nil"/>
              <w:bottom w:val="double" w:sz="6" w:space="0" w:color="auto"/>
              <w:right w:val="double" w:sz="6" w:space="0" w:color="auto"/>
            </w:tcBorders>
            <w:shd w:val="clear" w:color="auto" w:fill="auto"/>
            <w:noWrap/>
            <w:vAlign w:val="center"/>
            <w:hideMark/>
          </w:tcPr>
          <w:p w14:paraId="5317D07A" w14:textId="77777777" w:rsidR="0051435E" w:rsidRPr="006A6AB6" w:rsidRDefault="0051435E" w:rsidP="00150EED">
            <w:pPr>
              <w:overflowPunct/>
              <w:autoSpaceDE/>
              <w:autoSpaceDN/>
              <w:adjustRightInd/>
              <w:jc w:val="right"/>
              <w:textAlignment w:val="auto"/>
              <w:rPr>
                <w:rFonts w:ascii="Arial" w:hAnsi="Arial" w:cs="Arial"/>
                <w:b/>
                <w:bCs/>
                <w:color w:val="000000"/>
                <w:sz w:val="18"/>
                <w:szCs w:val="18"/>
              </w:rPr>
            </w:pPr>
            <w:r w:rsidRPr="006A6AB6">
              <w:rPr>
                <w:rFonts w:ascii="Arial" w:hAnsi="Arial" w:cs="Arial"/>
                <w:b/>
                <w:bCs/>
                <w:color w:val="000000"/>
                <w:sz w:val="18"/>
                <w:szCs w:val="18"/>
              </w:rPr>
              <w:t>-2,37</w:t>
            </w:r>
          </w:p>
        </w:tc>
      </w:tr>
    </w:tbl>
    <w:p w14:paraId="18A4CA11" w14:textId="77777777" w:rsidR="0051435E" w:rsidRDefault="0051435E"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2645DDC" w14:textId="53FDF587" w:rsidR="008D2D25" w:rsidRDefault="0051435E"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414489">
        <w:rPr>
          <w:rFonts w:ascii="Arial" w:eastAsia="Calibri" w:hAnsi="Arial" w:cs="Arial"/>
          <w:sz w:val="24"/>
          <w:szCs w:val="24"/>
          <w:lang w:eastAsia="en-US"/>
        </w:rPr>
        <w:t xml:space="preserve">Jenseits der verfassungsrechtlich gebotenen Mindestalimentation, wie sie sich aufgrund der oben dargestellten </w:t>
      </w:r>
      <w:r w:rsidR="00825000">
        <w:rPr>
          <w:rFonts w:ascii="Arial" w:eastAsia="Calibri" w:hAnsi="Arial" w:cs="Arial"/>
          <w:sz w:val="24"/>
          <w:szCs w:val="24"/>
          <w:lang w:eastAsia="en-US"/>
        </w:rPr>
        <w:t>Prüfung</w:t>
      </w:r>
      <w:r w:rsidR="00825000" w:rsidRPr="00414489">
        <w:rPr>
          <w:rFonts w:ascii="Arial" w:eastAsia="Calibri" w:hAnsi="Arial" w:cs="Arial"/>
          <w:sz w:val="24"/>
          <w:szCs w:val="24"/>
          <w:lang w:eastAsia="en-US"/>
        </w:rPr>
        <w:t xml:space="preserve"> </w:t>
      </w:r>
      <w:r w:rsidRPr="00414489">
        <w:rPr>
          <w:rFonts w:ascii="Arial" w:eastAsia="Calibri" w:hAnsi="Arial" w:cs="Arial"/>
          <w:sz w:val="24"/>
          <w:szCs w:val="24"/>
          <w:lang w:eastAsia="en-US"/>
        </w:rPr>
        <w:t>ergibt, genießt die Alimentation der Richter einen relativen Normbestandsschutz</w:t>
      </w:r>
      <w:r w:rsidRPr="007200DE">
        <w:rPr>
          <w:rFonts w:ascii="Arial" w:eastAsia="Calibri" w:hAnsi="Arial" w:cs="Arial"/>
          <w:sz w:val="24"/>
          <w:szCs w:val="24"/>
          <w:lang w:eastAsia="en-US"/>
        </w:rPr>
        <w:t>.</w:t>
      </w:r>
      <w:r w:rsidRPr="00414489">
        <w:rPr>
          <w:rFonts w:ascii="Arial" w:eastAsia="Calibri" w:hAnsi="Arial" w:cs="Arial"/>
          <w:sz w:val="24"/>
          <w:szCs w:val="24"/>
          <w:lang w:eastAsia="en-US"/>
        </w:rPr>
        <w:t xml:space="preserve"> Der Gesetzgeber darf Kürzungen oder andere Einschnitte in die Bezüge nur vornehmen,</w:t>
      </w:r>
      <w:r w:rsidRPr="00047445">
        <w:rPr>
          <w:rFonts w:ascii="Arial" w:eastAsia="Calibri" w:hAnsi="Arial" w:cs="Arial"/>
          <w:sz w:val="24"/>
          <w:szCs w:val="24"/>
          <w:lang w:eastAsia="en-US"/>
        </w:rPr>
        <w:t xml:space="preserve"> wenn dies aus sachlichen Gründen gerechtfertigt ist. Kürzungen oder andere Einschnitte können durch solche Gründe sachlich gerechtfertigt werden, die im Bereich des Systems</w:t>
      </w:r>
      <w:r>
        <w:rPr>
          <w:rFonts w:ascii="Arial" w:eastAsia="Calibri" w:hAnsi="Arial" w:cs="Arial"/>
          <w:sz w:val="24"/>
          <w:szCs w:val="24"/>
          <w:lang w:eastAsia="en-US"/>
        </w:rPr>
        <w:t xml:space="preserve"> </w:t>
      </w:r>
      <w:r w:rsidRPr="00047445">
        <w:rPr>
          <w:rFonts w:ascii="Arial" w:eastAsia="Calibri" w:hAnsi="Arial" w:cs="Arial"/>
          <w:sz w:val="24"/>
          <w:szCs w:val="24"/>
          <w:lang w:eastAsia="en-US"/>
        </w:rPr>
        <w:t xml:space="preserve">der Beamtenbesoldung liegen. </w:t>
      </w:r>
      <w:r w:rsidR="008D2D25">
        <w:rPr>
          <w:rFonts w:ascii="Arial" w:eastAsia="Calibri" w:hAnsi="Arial" w:cs="Arial"/>
          <w:sz w:val="24"/>
          <w:szCs w:val="24"/>
          <w:lang w:eastAsia="en-US"/>
        </w:rPr>
        <w:t xml:space="preserve">Derartige Gründe liegen nicht vor. </w:t>
      </w:r>
    </w:p>
    <w:p w14:paraId="0824F028" w14:textId="77777777" w:rsidR="008D2D25" w:rsidRDefault="008D2D25"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4E8AD0B" w14:textId="63FF8B73" w:rsidR="0051435E" w:rsidRPr="0072114E" w:rsidRDefault="008D2D25" w:rsidP="0051435E">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Sie bestehen auch nicht in f</w:t>
      </w:r>
      <w:r w:rsidR="0051435E" w:rsidRPr="00047445">
        <w:rPr>
          <w:rFonts w:ascii="Arial" w:eastAsia="Calibri" w:hAnsi="Arial" w:cs="Arial"/>
          <w:sz w:val="24"/>
          <w:szCs w:val="24"/>
          <w:lang w:eastAsia="en-US"/>
        </w:rPr>
        <w:t>inanzielle</w:t>
      </w:r>
      <w:r>
        <w:rPr>
          <w:rFonts w:ascii="Arial" w:eastAsia="Calibri" w:hAnsi="Arial" w:cs="Arial"/>
          <w:sz w:val="24"/>
          <w:szCs w:val="24"/>
          <w:lang w:eastAsia="en-US"/>
        </w:rPr>
        <w:t>n</w:t>
      </w:r>
      <w:r w:rsidR="0051435E" w:rsidRPr="00047445">
        <w:rPr>
          <w:rFonts w:ascii="Arial" w:eastAsia="Calibri" w:hAnsi="Arial" w:cs="Arial"/>
          <w:sz w:val="24"/>
          <w:szCs w:val="24"/>
          <w:lang w:eastAsia="en-US"/>
        </w:rPr>
        <w:t xml:space="preserve"> Erwägungen </w:t>
      </w:r>
      <w:r>
        <w:rPr>
          <w:rFonts w:ascii="Arial" w:eastAsia="Calibri" w:hAnsi="Arial" w:cs="Arial"/>
          <w:sz w:val="24"/>
          <w:szCs w:val="24"/>
          <w:lang w:eastAsia="en-US"/>
        </w:rPr>
        <w:t xml:space="preserve">zugunsten des Landes Berlin. Selbst wenn das Land Berlin die Absicht gehabt haben </w:t>
      </w:r>
      <w:r w:rsidR="00261195">
        <w:rPr>
          <w:rFonts w:ascii="Arial" w:eastAsia="Calibri" w:hAnsi="Arial" w:cs="Arial"/>
          <w:sz w:val="24"/>
          <w:szCs w:val="24"/>
          <w:lang w:eastAsia="en-US"/>
        </w:rPr>
        <w:t>sollte</w:t>
      </w:r>
      <w:r>
        <w:rPr>
          <w:rFonts w:ascii="Arial" w:eastAsia="Calibri" w:hAnsi="Arial" w:cs="Arial"/>
          <w:sz w:val="24"/>
          <w:szCs w:val="24"/>
          <w:lang w:eastAsia="en-US"/>
        </w:rPr>
        <w:t xml:space="preserve">, </w:t>
      </w:r>
      <w:r w:rsidR="0051435E" w:rsidRPr="00047445">
        <w:rPr>
          <w:rFonts w:ascii="Arial" w:eastAsia="Calibri" w:hAnsi="Arial" w:cs="Arial"/>
          <w:sz w:val="24"/>
          <w:szCs w:val="24"/>
          <w:lang w:eastAsia="en-US"/>
        </w:rPr>
        <w:t xml:space="preserve">Ausgaben zu sparen, </w:t>
      </w:r>
      <w:r>
        <w:rPr>
          <w:rFonts w:ascii="Arial" w:eastAsia="Calibri" w:hAnsi="Arial" w:cs="Arial"/>
          <w:sz w:val="24"/>
          <w:szCs w:val="24"/>
          <w:lang w:eastAsia="en-US"/>
        </w:rPr>
        <w:t>ist dies keine</w:t>
      </w:r>
      <w:r w:rsidR="0051435E" w:rsidRPr="00047445">
        <w:rPr>
          <w:rFonts w:ascii="Arial" w:eastAsia="Calibri" w:hAnsi="Arial" w:cs="Arial"/>
          <w:sz w:val="24"/>
          <w:szCs w:val="24"/>
          <w:lang w:eastAsia="en-US"/>
        </w:rPr>
        <w:t xml:space="preserve"> ausreichende </w:t>
      </w:r>
      <w:r w:rsidR="0051435E" w:rsidRPr="0072114E">
        <w:rPr>
          <w:rFonts w:ascii="Arial" w:eastAsia="Calibri" w:hAnsi="Arial" w:cs="Arial"/>
          <w:sz w:val="24"/>
          <w:szCs w:val="24"/>
          <w:lang w:eastAsia="en-US"/>
        </w:rPr>
        <w:t>Legitimation für</w:t>
      </w:r>
      <w:r>
        <w:rPr>
          <w:rFonts w:ascii="Arial" w:eastAsia="Calibri" w:hAnsi="Arial" w:cs="Arial"/>
          <w:sz w:val="24"/>
          <w:szCs w:val="24"/>
          <w:lang w:eastAsia="en-US"/>
        </w:rPr>
        <w:t xml:space="preserve"> </w:t>
      </w:r>
      <w:r w:rsidR="003E74FD">
        <w:rPr>
          <w:rFonts w:ascii="Arial" w:eastAsia="Calibri" w:hAnsi="Arial" w:cs="Arial"/>
          <w:sz w:val="24"/>
          <w:szCs w:val="24"/>
          <w:lang w:eastAsia="en-US"/>
        </w:rPr>
        <w:t>die</w:t>
      </w:r>
      <w:r>
        <w:rPr>
          <w:rFonts w:ascii="Arial" w:eastAsia="Calibri" w:hAnsi="Arial" w:cs="Arial"/>
          <w:sz w:val="24"/>
          <w:szCs w:val="24"/>
          <w:lang w:eastAsia="en-US"/>
        </w:rPr>
        <w:t xml:space="preserve"> von 2015 zu 2016 eintretende</w:t>
      </w:r>
      <w:r w:rsidR="003E74FD">
        <w:rPr>
          <w:rFonts w:ascii="Arial" w:eastAsia="Calibri" w:hAnsi="Arial" w:cs="Arial"/>
          <w:sz w:val="24"/>
          <w:szCs w:val="24"/>
          <w:lang w:eastAsia="en-US"/>
        </w:rPr>
        <w:t xml:space="preserve"> Absenkung</w:t>
      </w:r>
      <w:r w:rsidR="0051435E" w:rsidRPr="0072114E">
        <w:rPr>
          <w:rFonts w:ascii="Arial" w:eastAsia="Calibri" w:hAnsi="Arial" w:cs="Arial"/>
          <w:sz w:val="24"/>
          <w:szCs w:val="24"/>
          <w:lang w:eastAsia="en-US"/>
        </w:rPr>
        <w:t xml:space="preserve"> der Besoldung, </w:t>
      </w:r>
      <w:r>
        <w:rPr>
          <w:rFonts w:ascii="Arial" w:eastAsia="Calibri" w:hAnsi="Arial" w:cs="Arial"/>
          <w:sz w:val="24"/>
          <w:szCs w:val="24"/>
          <w:lang w:eastAsia="en-US"/>
        </w:rPr>
        <w:t>da d</w:t>
      </w:r>
      <w:r w:rsidR="003E74FD">
        <w:rPr>
          <w:rFonts w:ascii="Arial" w:eastAsia="Calibri" w:hAnsi="Arial" w:cs="Arial"/>
          <w:sz w:val="24"/>
          <w:szCs w:val="24"/>
          <w:lang w:eastAsia="en-US"/>
        </w:rPr>
        <w:t>ie Absenkung n</w:t>
      </w:r>
      <w:r w:rsidR="0051435E" w:rsidRPr="0072114E">
        <w:rPr>
          <w:rFonts w:ascii="Arial" w:eastAsia="Calibri" w:hAnsi="Arial" w:cs="Arial"/>
          <w:sz w:val="24"/>
          <w:szCs w:val="24"/>
          <w:lang w:eastAsia="en-US"/>
        </w:rPr>
        <w:t>icht als Teil eines schlüssigen Gesamtkonzepts dem in Art. 109</w:t>
      </w:r>
      <w:r w:rsidR="00D44223">
        <w:rPr>
          <w:rFonts w:ascii="Arial" w:eastAsia="Calibri" w:hAnsi="Arial" w:cs="Arial"/>
          <w:sz w:val="24"/>
          <w:szCs w:val="24"/>
          <w:lang w:eastAsia="en-US"/>
        </w:rPr>
        <w:t> </w:t>
      </w:r>
      <w:r w:rsidR="0051435E" w:rsidRPr="0072114E">
        <w:rPr>
          <w:rFonts w:ascii="Arial" w:eastAsia="Calibri" w:hAnsi="Arial" w:cs="Arial"/>
          <w:sz w:val="24"/>
          <w:szCs w:val="24"/>
          <w:lang w:eastAsia="en-US"/>
        </w:rPr>
        <w:t>Abs.</w:t>
      </w:r>
      <w:r w:rsidR="00D44223">
        <w:rPr>
          <w:rFonts w:ascii="Arial" w:eastAsia="Calibri" w:hAnsi="Arial" w:cs="Arial"/>
          <w:sz w:val="24"/>
          <w:szCs w:val="24"/>
          <w:lang w:eastAsia="en-US"/>
        </w:rPr>
        <w:t> </w:t>
      </w:r>
      <w:r w:rsidR="0051435E" w:rsidRPr="0072114E">
        <w:rPr>
          <w:rFonts w:ascii="Arial" w:eastAsia="Calibri" w:hAnsi="Arial" w:cs="Arial"/>
          <w:sz w:val="24"/>
          <w:szCs w:val="24"/>
          <w:lang w:eastAsia="en-US"/>
        </w:rPr>
        <w:t>3</w:t>
      </w:r>
      <w:r w:rsidR="006A7DE9">
        <w:rPr>
          <w:rFonts w:ascii="Arial" w:eastAsia="Calibri" w:hAnsi="Arial" w:cs="Arial"/>
          <w:sz w:val="24"/>
          <w:szCs w:val="24"/>
          <w:lang w:eastAsia="en-US"/>
        </w:rPr>
        <w:t> </w:t>
      </w:r>
      <w:r w:rsidR="0051435E" w:rsidRPr="0072114E">
        <w:rPr>
          <w:rFonts w:ascii="Arial" w:eastAsia="Calibri" w:hAnsi="Arial" w:cs="Arial"/>
          <w:sz w:val="24"/>
          <w:szCs w:val="24"/>
          <w:lang w:eastAsia="en-US"/>
        </w:rPr>
        <w:t>GG verankerten Ziel der Haushaltskonsolidierung dient.</w:t>
      </w:r>
    </w:p>
    <w:p w14:paraId="4E9F6233" w14:textId="77777777" w:rsidR="0081331F" w:rsidRPr="009B04AD" w:rsidRDefault="0081331F"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A7F6739" w14:textId="18600450" w:rsidR="00F561EB" w:rsidRDefault="005A6FFD" w:rsidP="003B0CDB">
      <w:pPr>
        <w:overflowPunct/>
        <w:autoSpaceDE/>
        <w:autoSpaceDN/>
        <w:adjustRightInd/>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b) </w:t>
      </w:r>
      <w:r w:rsidR="00663CEB" w:rsidRPr="003239E1">
        <w:rPr>
          <w:rFonts w:ascii="Arial" w:eastAsia="Calibri" w:hAnsi="Arial" w:cs="Arial"/>
          <w:sz w:val="24"/>
          <w:szCs w:val="24"/>
          <w:lang w:eastAsia="en-US"/>
        </w:rPr>
        <w:t>I</w:t>
      </w:r>
      <w:r w:rsidR="00663CEB">
        <w:rPr>
          <w:rFonts w:ascii="Arial" w:eastAsia="Calibri" w:hAnsi="Arial" w:cs="Arial"/>
          <w:sz w:val="24"/>
          <w:szCs w:val="24"/>
          <w:lang w:eastAsia="en-US"/>
        </w:rPr>
        <w:t>m Jahr 2017 unterschreitet die Besoldungsentwicklung die Vergleichsindexe teils erheblich. D</w:t>
      </w:r>
      <w:r w:rsidR="00663CEB" w:rsidRPr="003239E1">
        <w:rPr>
          <w:rFonts w:ascii="Arial" w:eastAsia="Calibri" w:hAnsi="Arial" w:cs="Arial"/>
          <w:sz w:val="24"/>
          <w:szCs w:val="24"/>
          <w:lang w:eastAsia="en-US"/>
        </w:rPr>
        <w:t xml:space="preserve">rei von fünf Parametern </w:t>
      </w:r>
      <w:r w:rsidR="00663CEB">
        <w:rPr>
          <w:rFonts w:ascii="Arial" w:eastAsia="Calibri" w:hAnsi="Arial" w:cs="Arial"/>
          <w:sz w:val="24"/>
          <w:szCs w:val="24"/>
          <w:lang w:eastAsia="en-US"/>
        </w:rPr>
        <w:t xml:space="preserve">(Tariflohnindex, Nominallohnindex und Mindestabstandsgebot) sind bereits </w:t>
      </w:r>
      <w:r w:rsidR="00663CEB" w:rsidRPr="004246CE">
        <w:rPr>
          <w:rFonts w:ascii="Arial" w:eastAsia="Calibri" w:hAnsi="Arial" w:cs="Arial"/>
          <w:sz w:val="24"/>
          <w:szCs w:val="24"/>
          <w:lang w:eastAsia="en-US"/>
        </w:rPr>
        <w:t xml:space="preserve">bei einer vereinfachten rechnerischen </w:t>
      </w:r>
      <w:r w:rsidR="00663CEB">
        <w:rPr>
          <w:rFonts w:ascii="Arial" w:eastAsia="Calibri" w:hAnsi="Arial" w:cs="Arial"/>
          <w:sz w:val="24"/>
          <w:szCs w:val="24"/>
          <w:lang w:eastAsia="en-US"/>
        </w:rPr>
        <w:t>Betrachtung erfüllt.</w:t>
      </w:r>
    </w:p>
    <w:p w14:paraId="232365C1" w14:textId="77777777" w:rsidR="00F561EB" w:rsidRDefault="00F561EB" w:rsidP="003B0CDB">
      <w:pPr>
        <w:overflowPunct/>
        <w:autoSpaceDE/>
        <w:autoSpaceDN/>
        <w:adjustRightInd/>
        <w:spacing w:line="276" w:lineRule="auto"/>
        <w:jc w:val="both"/>
        <w:textAlignment w:val="auto"/>
        <w:rPr>
          <w:rFonts w:ascii="Arial" w:eastAsia="Calibri" w:hAnsi="Arial" w:cs="Arial"/>
          <w:sz w:val="24"/>
          <w:szCs w:val="24"/>
          <w:lang w:eastAsia="en-US"/>
        </w:rPr>
      </w:pPr>
    </w:p>
    <w:p w14:paraId="4364DF80" w14:textId="381DA3B8" w:rsidR="00A139D2" w:rsidRPr="008E4564" w:rsidRDefault="00F561EB" w:rsidP="003B0CDB">
      <w:pPr>
        <w:overflowPunct/>
        <w:autoSpaceDE/>
        <w:autoSpaceDN/>
        <w:adjustRightInd/>
        <w:spacing w:line="276" w:lineRule="auto"/>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c) </w:t>
      </w:r>
      <w:r w:rsidR="004E2F8D" w:rsidRPr="00D869A5">
        <w:rPr>
          <w:rFonts w:ascii="Arial" w:eastAsia="Calibri" w:hAnsi="Arial" w:cs="Arial"/>
          <w:sz w:val="24"/>
          <w:szCs w:val="24"/>
          <w:lang w:eastAsia="en-US"/>
        </w:rPr>
        <w:t xml:space="preserve">Obwohl </w:t>
      </w:r>
      <w:r w:rsidR="001730C1" w:rsidRPr="00D869A5">
        <w:rPr>
          <w:rFonts w:ascii="Arial" w:eastAsia="Calibri" w:hAnsi="Arial" w:cs="Arial"/>
          <w:sz w:val="24"/>
          <w:szCs w:val="24"/>
          <w:lang w:eastAsia="en-US"/>
        </w:rPr>
        <w:t xml:space="preserve">in den Jahren 2018 bis 2020 </w:t>
      </w:r>
      <w:r w:rsidR="004E2F8D" w:rsidRPr="00D869A5">
        <w:rPr>
          <w:rFonts w:ascii="Arial" w:eastAsia="Calibri" w:hAnsi="Arial" w:cs="Arial"/>
          <w:sz w:val="24"/>
          <w:szCs w:val="24"/>
          <w:lang w:eastAsia="en-US"/>
        </w:rPr>
        <w:t>der Schwellenwert von 5</w:t>
      </w:r>
      <w:r w:rsidR="001A4790" w:rsidRPr="00D869A5">
        <w:rPr>
          <w:rFonts w:ascii="Arial" w:eastAsia="Calibri" w:hAnsi="Arial" w:cs="Arial"/>
          <w:sz w:val="24"/>
          <w:szCs w:val="24"/>
          <w:lang w:eastAsia="en-US"/>
        </w:rPr>
        <w:t xml:space="preserve"> </w:t>
      </w:r>
      <w:r w:rsidR="004E2F8D" w:rsidRPr="00D869A5">
        <w:rPr>
          <w:rFonts w:ascii="Arial" w:eastAsia="Calibri" w:hAnsi="Arial" w:cs="Arial"/>
          <w:sz w:val="24"/>
          <w:szCs w:val="24"/>
          <w:lang w:eastAsia="en-US"/>
        </w:rPr>
        <w:t xml:space="preserve">% bei den ersten drei Parametern nicht überschritten worden ist, </w:t>
      </w:r>
      <w:r w:rsidR="001730C1" w:rsidRPr="00D869A5">
        <w:rPr>
          <w:rFonts w:ascii="Arial" w:eastAsia="Calibri" w:hAnsi="Arial" w:cs="Arial"/>
          <w:sz w:val="24"/>
          <w:szCs w:val="24"/>
          <w:lang w:eastAsia="en-US"/>
        </w:rPr>
        <w:t>war d</w:t>
      </w:r>
      <w:r w:rsidR="00487B93" w:rsidRPr="00D869A5">
        <w:rPr>
          <w:rFonts w:ascii="Arial" w:eastAsia="Calibri" w:hAnsi="Arial" w:cs="Arial"/>
          <w:sz w:val="24"/>
          <w:szCs w:val="24"/>
          <w:lang w:eastAsia="en-US"/>
        </w:rPr>
        <w:t xml:space="preserve">ie Besoldung der Richter </w:t>
      </w:r>
      <w:r w:rsidR="009B04AD" w:rsidRPr="00D869A5">
        <w:rPr>
          <w:rFonts w:ascii="Arial" w:eastAsia="Calibri" w:hAnsi="Arial" w:cs="Arial"/>
          <w:sz w:val="24"/>
          <w:szCs w:val="24"/>
          <w:lang w:eastAsia="en-US"/>
        </w:rPr>
        <w:t>in</w:t>
      </w:r>
      <w:r w:rsidR="00487B93" w:rsidRPr="00D869A5">
        <w:rPr>
          <w:rFonts w:ascii="Arial" w:eastAsia="Calibri" w:hAnsi="Arial" w:cs="Arial"/>
          <w:sz w:val="24"/>
          <w:szCs w:val="24"/>
          <w:lang w:eastAsia="en-US"/>
        </w:rPr>
        <w:t xml:space="preserve"> Berlin </w:t>
      </w:r>
      <w:r w:rsidR="004E2F8D" w:rsidRPr="00D869A5">
        <w:rPr>
          <w:rFonts w:ascii="Arial" w:eastAsia="Calibri" w:hAnsi="Arial" w:cs="Arial"/>
          <w:sz w:val="24"/>
          <w:szCs w:val="24"/>
          <w:lang w:eastAsia="en-US"/>
        </w:rPr>
        <w:t xml:space="preserve">auch in diesen Jahren </w:t>
      </w:r>
      <w:r w:rsidR="00487B93" w:rsidRPr="00D869A5">
        <w:rPr>
          <w:rFonts w:ascii="Arial" w:eastAsia="Calibri" w:hAnsi="Arial" w:cs="Arial"/>
          <w:sz w:val="24"/>
          <w:szCs w:val="24"/>
          <w:lang w:eastAsia="en-US"/>
        </w:rPr>
        <w:t>verfassungswidrig zu niedrig bemessen.</w:t>
      </w:r>
      <w:r w:rsidR="009B04AD" w:rsidRPr="00D869A5">
        <w:rPr>
          <w:rFonts w:ascii="Arial" w:eastAsia="Calibri" w:hAnsi="Arial" w:cs="Arial"/>
          <w:sz w:val="24"/>
          <w:szCs w:val="24"/>
          <w:lang w:eastAsia="en-US"/>
        </w:rPr>
        <w:t xml:space="preserve"> </w:t>
      </w:r>
      <w:r w:rsidR="00A139D2" w:rsidRPr="00A139D2">
        <w:rPr>
          <w:rFonts w:ascii="Arial" w:eastAsia="Calibri" w:hAnsi="Arial" w:cs="Arial"/>
          <w:sz w:val="24"/>
          <w:szCs w:val="24"/>
          <w:lang w:eastAsia="en-US"/>
        </w:rPr>
        <w:t xml:space="preserve">Sind (nur) ein oder zwei Parameter erfüllt, müssen die Ergebnisse der ersten Stufe, insbesondere das Maß der Über- beziehungsweise Unterschreitung der Parameter, zusammen mit den auf der zweiten Stufe ausgewerteten alimentationsrelevanten Kriterien im Rahmen der Gesamtabwägung eingehend </w:t>
      </w:r>
      <w:r w:rsidR="00A139D2" w:rsidRPr="008E4564">
        <w:rPr>
          <w:rFonts w:ascii="Arial" w:eastAsia="Calibri" w:hAnsi="Arial" w:cs="Arial"/>
          <w:sz w:val="24"/>
          <w:szCs w:val="24"/>
          <w:lang w:eastAsia="en-US"/>
        </w:rPr>
        <w:t>gewürdigt werden (</w:t>
      </w:r>
      <w:r w:rsidR="00E94361" w:rsidRPr="008E4564">
        <w:rPr>
          <w:rFonts w:ascii="Arial" w:eastAsia="Calibri" w:hAnsi="Arial" w:cs="Arial"/>
          <w:sz w:val="24"/>
          <w:szCs w:val="24"/>
          <w:lang w:eastAsia="en-US"/>
        </w:rPr>
        <w:t>vgl. BVerfG, Beschl</w:t>
      </w:r>
      <w:r w:rsidR="000140AD" w:rsidRPr="008E4564">
        <w:rPr>
          <w:rFonts w:ascii="Arial" w:eastAsia="Calibri" w:hAnsi="Arial" w:cs="Arial"/>
          <w:sz w:val="24"/>
          <w:szCs w:val="24"/>
          <w:lang w:eastAsia="en-US"/>
        </w:rPr>
        <w:t>.</w:t>
      </w:r>
      <w:r w:rsidR="00E94361" w:rsidRPr="008E4564">
        <w:rPr>
          <w:rFonts w:ascii="Arial" w:eastAsia="Calibri" w:hAnsi="Arial" w:cs="Arial"/>
          <w:sz w:val="24"/>
          <w:szCs w:val="24"/>
          <w:lang w:eastAsia="en-US"/>
        </w:rPr>
        <w:t xml:space="preserve"> v</w:t>
      </w:r>
      <w:r w:rsidR="000140AD" w:rsidRPr="008E4564">
        <w:rPr>
          <w:rFonts w:ascii="Arial" w:eastAsia="Calibri" w:hAnsi="Arial" w:cs="Arial"/>
          <w:sz w:val="24"/>
          <w:szCs w:val="24"/>
          <w:lang w:eastAsia="en-US"/>
        </w:rPr>
        <w:t>.</w:t>
      </w:r>
      <w:r w:rsidR="00E94361" w:rsidRPr="008E4564">
        <w:rPr>
          <w:rFonts w:ascii="Arial" w:eastAsia="Calibri" w:hAnsi="Arial" w:cs="Arial"/>
          <w:sz w:val="24"/>
          <w:szCs w:val="24"/>
          <w:lang w:eastAsia="en-US"/>
        </w:rPr>
        <w:t xml:space="preserve"> 4. Mai 2020 – 2 BvL 4/18</w:t>
      </w:r>
      <w:r w:rsidR="000140AD" w:rsidRPr="008E4564">
        <w:rPr>
          <w:rFonts w:ascii="Arial" w:eastAsia="Calibri" w:hAnsi="Arial" w:cs="Arial"/>
          <w:sz w:val="24"/>
          <w:szCs w:val="24"/>
          <w:lang w:eastAsia="en-US"/>
        </w:rPr>
        <w:t xml:space="preserve"> –</w:t>
      </w:r>
      <w:r w:rsidR="00E94361" w:rsidRPr="008E4564">
        <w:rPr>
          <w:rFonts w:ascii="Arial" w:eastAsia="Calibri" w:hAnsi="Arial" w:cs="Arial"/>
          <w:sz w:val="24"/>
          <w:szCs w:val="24"/>
          <w:lang w:eastAsia="en-US"/>
        </w:rPr>
        <w:t xml:space="preserve"> juris </w:t>
      </w:r>
      <w:r w:rsidR="00A139D2" w:rsidRPr="008E4564">
        <w:rPr>
          <w:rFonts w:ascii="Arial" w:eastAsia="Calibri" w:hAnsi="Arial" w:cs="Arial"/>
          <w:sz w:val="24"/>
          <w:szCs w:val="24"/>
          <w:lang w:eastAsia="en-US"/>
        </w:rPr>
        <w:t>Rn</w:t>
      </w:r>
      <w:r w:rsidR="000140AD" w:rsidRPr="008E4564">
        <w:rPr>
          <w:rFonts w:ascii="Arial" w:eastAsia="Calibri" w:hAnsi="Arial" w:cs="Arial"/>
          <w:sz w:val="24"/>
          <w:szCs w:val="24"/>
          <w:lang w:eastAsia="en-US"/>
        </w:rPr>
        <w:t>.</w:t>
      </w:r>
      <w:r w:rsidR="00A139D2" w:rsidRPr="008E4564">
        <w:rPr>
          <w:rFonts w:ascii="Arial" w:eastAsia="Calibri" w:hAnsi="Arial" w:cs="Arial"/>
          <w:sz w:val="24"/>
          <w:szCs w:val="24"/>
          <w:lang w:eastAsia="en-US"/>
        </w:rPr>
        <w:t xml:space="preserve"> 85). </w:t>
      </w:r>
    </w:p>
    <w:p w14:paraId="7A166209" w14:textId="77777777" w:rsidR="00A139D2" w:rsidRPr="008E4564" w:rsidRDefault="00A139D2" w:rsidP="003B0CDB">
      <w:pPr>
        <w:overflowPunct/>
        <w:autoSpaceDE/>
        <w:autoSpaceDN/>
        <w:adjustRightInd/>
        <w:spacing w:line="276" w:lineRule="auto"/>
        <w:jc w:val="both"/>
        <w:textAlignment w:val="auto"/>
        <w:rPr>
          <w:rFonts w:ascii="Arial" w:eastAsia="Calibri" w:hAnsi="Arial" w:cs="Arial"/>
          <w:sz w:val="24"/>
          <w:szCs w:val="24"/>
          <w:lang w:eastAsia="en-US"/>
        </w:rPr>
      </w:pPr>
    </w:p>
    <w:p w14:paraId="74C10C5B" w14:textId="66A35CF0" w:rsidR="00AC1C84" w:rsidRDefault="004A5506" w:rsidP="003B0CDB">
      <w:pPr>
        <w:overflowPunct/>
        <w:autoSpaceDE/>
        <w:autoSpaceDN/>
        <w:adjustRightInd/>
        <w:spacing w:line="276" w:lineRule="auto"/>
        <w:jc w:val="both"/>
        <w:textAlignment w:val="auto"/>
        <w:rPr>
          <w:rFonts w:ascii="Arial" w:eastAsia="Calibri" w:hAnsi="Arial" w:cs="Arial"/>
          <w:sz w:val="24"/>
          <w:szCs w:val="24"/>
          <w:lang w:eastAsia="en-US"/>
        </w:rPr>
      </w:pPr>
      <w:r w:rsidRPr="0076080E">
        <w:rPr>
          <w:rFonts w:ascii="Arial" w:eastAsia="Calibri" w:hAnsi="Arial" w:cs="Arial"/>
          <w:sz w:val="24"/>
          <w:szCs w:val="24"/>
          <w:lang w:eastAsia="en-US"/>
        </w:rPr>
        <w:t xml:space="preserve">aa) </w:t>
      </w:r>
      <w:r w:rsidR="00A139D2" w:rsidRPr="0076080E">
        <w:rPr>
          <w:rFonts w:ascii="Arial" w:eastAsia="Calibri" w:hAnsi="Arial" w:cs="Arial"/>
          <w:sz w:val="24"/>
          <w:szCs w:val="24"/>
          <w:lang w:eastAsia="en-US"/>
        </w:rPr>
        <w:t>Hier</w:t>
      </w:r>
      <w:r w:rsidR="00825000" w:rsidRPr="0076080E">
        <w:rPr>
          <w:rFonts w:ascii="Arial" w:eastAsia="Calibri" w:hAnsi="Arial" w:cs="Arial"/>
          <w:sz w:val="24"/>
          <w:szCs w:val="24"/>
          <w:lang w:eastAsia="en-US"/>
        </w:rPr>
        <w:t>bei</w:t>
      </w:r>
      <w:r w:rsidR="00A139D2" w:rsidRPr="0076080E">
        <w:rPr>
          <w:rFonts w:ascii="Arial" w:eastAsia="Calibri" w:hAnsi="Arial" w:cs="Arial"/>
          <w:sz w:val="24"/>
          <w:szCs w:val="24"/>
          <w:lang w:eastAsia="en-US"/>
        </w:rPr>
        <w:t xml:space="preserve"> ist </w:t>
      </w:r>
      <w:r w:rsidR="00825000" w:rsidRPr="0076080E">
        <w:rPr>
          <w:rFonts w:ascii="Arial" w:eastAsia="Calibri" w:hAnsi="Arial" w:cs="Arial"/>
          <w:sz w:val="24"/>
          <w:szCs w:val="24"/>
          <w:lang w:eastAsia="en-US"/>
        </w:rPr>
        <w:t xml:space="preserve">zunächst </w:t>
      </w:r>
      <w:r w:rsidR="00A139D2" w:rsidRPr="0076080E">
        <w:rPr>
          <w:rFonts w:ascii="Arial" w:eastAsia="Calibri" w:hAnsi="Arial" w:cs="Arial"/>
          <w:sz w:val="24"/>
          <w:szCs w:val="24"/>
          <w:lang w:eastAsia="en-US"/>
        </w:rPr>
        <w:t xml:space="preserve">zu berücksichtigen, dass die Verletzung des Mindestabstandsgebotes </w:t>
      </w:r>
      <w:r w:rsidR="00D95BA0" w:rsidRPr="0076080E">
        <w:rPr>
          <w:rFonts w:ascii="Arial" w:eastAsia="Calibri" w:hAnsi="Arial" w:cs="Arial"/>
          <w:sz w:val="24"/>
          <w:szCs w:val="24"/>
          <w:lang w:eastAsia="en-US"/>
        </w:rPr>
        <w:t xml:space="preserve">um bis zu 29% </w:t>
      </w:r>
      <w:r w:rsidR="00003A18" w:rsidRPr="0076080E">
        <w:rPr>
          <w:rFonts w:ascii="Arial" w:eastAsia="Calibri" w:hAnsi="Arial" w:cs="Arial"/>
          <w:sz w:val="24"/>
          <w:szCs w:val="24"/>
          <w:lang w:eastAsia="en-US"/>
        </w:rPr>
        <w:t xml:space="preserve">für die Jahre 2009 bis 2015 </w:t>
      </w:r>
      <w:r w:rsidR="0020539D" w:rsidRPr="0076080E">
        <w:rPr>
          <w:rFonts w:ascii="Arial" w:eastAsia="Calibri" w:hAnsi="Arial" w:cs="Arial"/>
          <w:sz w:val="24"/>
          <w:szCs w:val="24"/>
          <w:lang w:eastAsia="en-US"/>
        </w:rPr>
        <w:t>in dem</w:t>
      </w:r>
      <w:r w:rsidR="00003A18" w:rsidRPr="0076080E">
        <w:rPr>
          <w:rFonts w:ascii="Arial" w:eastAsia="Calibri" w:hAnsi="Arial" w:cs="Arial"/>
          <w:sz w:val="24"/>
          <w:szCs w:val="24"/>
          <w:lang w:eastAsia="en-US"/>
        </w:rPr>
        <w:t xml:space="preserve"> </w:t>
      </w:r>
      <w:r w:rsidR="0019332A" w:rsidRPr="0076080E">
        <w:rPr>
          <w:rFonts w:ascii="Arial" w:eastAsia="Calibri" w:hAnsi="Arial" w:cs="Arial"/>
          <w:sz w:val="24"/>
          <w:szCs w:val="24"/>
          <w:lang w:eastAsia="en-US"/>
        </w:rPr>
        <w:t xml:space="preserve">vorgenannten Beschlusse des Bundesverfassungsgerichts </w:t>
      </w:r>
      <w:r w:rsidR="0020539D" w:rsidRPr="0076080E">
        <w:rPr>
          <w:rFonts w:ascii="Arial" w:eastAsia="Calibri" w:hAnsi="Arial" w:cs="Arial"/>
          <w:sz w:val="24"/>
          <w:szCs w:val="24"/>
          <w:lang w:eastAsia="en-US"/>
        </w:rPr>
        <w:t xml:space="preserve">festgestellt worden ist </w:t>
      </w:r>
      <w:r w:rsidR="00F63E50" w:rsidRPr="0076080E">
        <w:rPr>
          <w:rFonts w:ascii="Arial" w:eastAsia="Calibri" w:hAnsi="Arial" w:cs="Arial"/>
          <w:sz w:val="24"/>
          <w:szCs w:val="24"/>
          <w:lang w:eastAsia="en-US"/>
        </w:rPr>
        <w:t>und – wie die obigen Berechnungen zeigen</w:t>
      </w:r>
      <w:r w:rsidR="00A258BE" w:rsidRPr="0076080E">
        <w:rPr>
          <w:rFonts w:ascii="Arial" w:eastAsia="Calibri" w:hAnsi="Arial" w:cs="Arial"/>
          <w:sz w:val="24"/>
          <w:szCs w:val="24"/>
          <w:lang w:eastAsia="en-US"/>
        </w:rPr>
        <w:t xml:space="preserve"> -</w:t>
      </w:r>
      <w:r w:rsidR="00DD28F6" w:rsidRPr="0076080E">
        <w:rPr>
          <w:rFonts w:ascii="Arial" w:eastAsia="Calibri" w:hAnsi="Arial" w:cs="Arial"/>
          <w:sz w:val="24"/>
          <w:szCs w:val="24"/>
          <w:lang w:eastAsia="en-US"/>
        </w:rPr>
        <w:t xml:space="preserve"> </w:t>
      </w:r>
      <w:r w:rsidR="00F63E50" w:rsidRPr="0076080E">
        <w:rPr>
          <w:rFonts w:ascii="Arial" w:eastAsia="Calibri" w:hAnsi="Arial" w:cs="Arial"/>
          <w:sz w:val="24"/>
          <w:szCs w:val="24"/>
          <w:lang w:eastAsia="en-US"/>
        </w:rPr>
        <w:t xml:space="preserve">in </w:t>
      </w:r>
      <w:r w:rsidR="0076080E">
        <w:rPr>
          <w:rFonts w:ascii="Arial" w:eastAsia="Calibri" w:hAnsi="Arial" w:cs="Arial"/>
          <w:sz w:val="24"/>
          <w:szCs w:val="24"/>
          <w:lang w:eastAsia="en-US"/>
        </w:rPr>
        <w:t>vergleichbarem Ausmaß</w:t>
      </w:r>
      <w:r w:rsidR="00F63E50" w:rsidRPr="0076080E">
        <w:rPr>
          <w:rFonts w:ascii="Arial" w:eastAsia="Calibri" w:hAnsi="Arial" w:cs="Arial"/>
          <w:sz w:val="24"/>
          <w:szCs w:val="24"/>
          <w:lang w:eastAsia="en-US"/>
        </w:rPr>
        <w:t xml:space="preserve"> bis in das Jahr 2020 andauert.</w:t>
      </w:r>
      <w:r w:rsidR="00A139D2" w:rsidRPr="00A139D2">
        <w:rPr>
          <w:rFonts w:ascii="Arial" w:eastAsia="Calibri" w:hAnsi="Arial" w:cs="Arial"/>
          <w:sz w:val="24"/>
          <w:szCs w:val="24"/>
          <w:lang w:eastAsia="en-US"/>
        </w:rPr>
        <w:t xml:space="preserve"> </w:t>
      </w:r>
    </w:p>
    <w:p w14:paraId="0E251680" w14:textId="77777777" w:rsidR="00AC1C84" w:rsidRDefault="00AC1C84" w:rsidP="003B0CDB">
      <w:pPr>
        <w:overflowPunct/>
        <w:autoSpaceDE/>
        <w:autoSpaceDN/>
        <w:adjustRightInd/>
        <w:spacing w:line="276" w:lineRule="auto"/>
        <w:jc w:val="both"/>
        <w:textAlignment w:val="auto"/>
        <w:rPr>
          <w:rFonts w:ascii="Arial" w:eastAsia="Calibri" w:hAnsi="Arial" w:cs="Arial"/>
          <w:sz w:val="24"/>
          <w:szCs w:val="24"/>
          <w:lang w:eastAsia="en-US"/>
        </w:rPr>
      </w:pPr>
    </w:p>
    <w:tbl>
      <w:tblPr>
        <w:tblW w:w="4705" w:type="dxa"/>
        <w:tblInd w:w="1509"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2145"/>
        <w:gridCol w:w="1240"/>
        <w:gridCol w:w="1320"/>
      </w:tblGrid>
      <w:tr w:rsidR="006E75AE" w:rsidRPr="006E75AE" w14:paraId="45F63E35" w14:textId="77777777" w:rsidTr="00ED463B">
        <w:trPr>
          <w:trHeight w:val="840"/>
        </w:trPr>
        <w:tc>
          <w:tcPr>
            <w:tcW w:w="2145" w:type="dxa"/>
            <w:tcBorders>
              <w:top w:val="double" w:sz="6" w:space="0" w:color="auto"/>
              <w:bottom w:val="single" w:sz="4" w:space="0" w:color="auto"/>
              <w:right w:val="single" w:sz="4" w:space="0" w:color="auto"/>
            </w:tcBorders>
            <w:shd w:val="clear" w:color="auto" w:fill="auto"/>
            <w:noWrap/>
            <w:vAlign w:val="center"/>
            <w:hideMark/>
          </w:tcPr>
          <w:p w14:paraId="1341F22A" w14:textId="389A01FB" w:rsidR="00F627BE" w:rsidRPr="006E75AE" w:rsidRDefault="00F627BE" w:rsidP="003B0CDB">
            <w:pPr>
              <w:overflowPunct/>
              <w:autoSpaceDE/>
              <w:autoSpaceDN/>
              <w:adjustRightInd/>
              <w:jc w:val="center"/>
              <w:textAlignment w:val="auto"/>
              <w:rPr>
                <w:rFonts w:ascii="Arial" w:hAnsi="Arial" w:cs="Arial"/>
              </w:rPr>
            </w:pPr>
          </w:p>
        </w:tc>
        <w:tc>
          <w:tcPr>
            <w:tcW w:w="2560" w:type="dxa"/>
            <w:gridSpan w:val="2"/>
            <w:tcBorders>
              <w:top w:val="double" w:sz="6" w:space="0" w:color="auto"/>
              <w:left w:val="single" w:sz="4" w:space="0" w:color="auto"/>
              <w:bottom w:val="single" w:sz="4" w:space="0" w:color="auto"/>
            </w:tcBorders>
            <w:shd w:val="clear" w:color="auto" w:fill="auto"/>
            <w:vAlign w:val="center"/>
            <w:hideMark/>
          </w:tcPr>
          <w:p w14:paraId="60CA24E5" w14:textId="2718204A"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Mindestabstandsgebot</w:t>
            </w:r>
          </w:p>
        </w:tc>
      </w:tr>
      <w:tr w:rsidR="006E75AE" w:rsidRPr="006E75AE" w14:paraId="655B5F57" w14:textId="77777777" w:rsidTr="00ED463B">
        <w:trPr>
          <w:trHeight w:val="288"/>
        </w:trPr>
        <w:tc>
          <w:tcPr>
            <w:tcW w:w="2145" w:type="dxa"/>
            <w:tcBorders>
              <w:top w:val="single" w:sz="4" w:space="0" w:color="auto"/>
              <w:bottom w:val="nil"/>
              <w:right w:val="single" w:sz="4" w:space="0" w:color="auto"/>
            </w:tcBorders>
            <w:shd w:val="clear" w:color="000000" w:fill="D9D9D9"/>
            <w:noWrap/>
            <w:vAlign w:val="bottom"/>
            <w:hideMark/>
          </w:tcPr>
          <w:p w14:paraId="12BD4901"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2009</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14:paraId="3BA96672"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single" w:sz="4" w:space="0" w:color="auto"/>
              <w:left w:val="single" w:sz="4" w:space="0" w:color="auto"/>
              <w:bottom w:val="nil"/>
            </w:tcBorders>
            <w:shd w:val="clear" w:color="auto" w:fill="auto"/>
            <w:noWrap/>
            <w:vAlign w:val="bottom"/>
            <w:hideMark/>
          </w:tcPr>
          <w:p w14:paraId="6CCBE69F" w14:textId="4A7AA348"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24</w:t>
            </w:r>
            <w:r w:rsidR="00825000">
              <w:rPr>
                <w:rFonts w:ascii="Arial" w:hAnsi="Arial" w:cs="Arial"/>
              </w:rPr>
              <w:t xml:space="preserve"> %</w:t>
            </w:r>
          </w:p>
        </w:tc>
      </w:tr>
      <w:tr w:rsidR="006E75AE" w:rsidRPr="006E75AE" w14:paraId="32477A19"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7D6576ED"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2010</w:t>
            </w:r>
          </w:p>
        </w:tc>
        <w:tc>
          <w:tcPr>
            <w:tcW w:w="1240" w:type="dxa"/>
            <w:tcBorders>
              <w:top w:val="nil"/>
              <w:left w:val="single" w:sz="4" w:space="0" w:color="auto"/>
              <w:bottom w:val="nil"/>
              <w:right w:val="single" w:sz="4" w:space="0" w:color="auto"/>
            </w:tcBorders>
            <w:shd w:val="clear" w:color="auto" w:fill="auto"/>
            <w:noWrap/>
            <w:vAlign w:val="bottom"/>
            <w:hideMark/>
          </w:tcPr>
          <w:p w14:paraId="125AB8BB"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3D6DA45E" w14:textId="09C444CB"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26</w:t>
            </w:r>
            <w:r w:rsidR="00825000">
              <w:rPr>
                <w:rFonts w:ascii="Arial" w:hAnsi="Arial" w:cs="Arial"/>
              </w:rPr>
              <w:t xml:space="preserve"> %</w:t>
            </w:r>
          </w:p>
        </w:tc>
      </w:tr>
      <w:tr w:rsidR="006E75AE" w:rsidRPr="006E75AE" w14:paraId="6194C1D4"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7B23E3A6"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2011</w:t>
            </w:r>
          </w:p>
        </w:tc>
        <w:tc>
          <w:tcPr>
            <w:tcW w:w="1240" w:type="dxa"/>
            <w:tcBorders>
              <w:top w:val="nil"/>
              <w:left w:val="single" w:sz="4" w:space="0" w:color="auto"/>
              <w:bottom w:val="nil"/>
              <w:right w:val="single" w:sz="4" w:space="0" w:color="auto"/>
            </w:tcBorders>
            <w:shd w:val="clear" w:color="auto" w:fill="auto"/>
            <w:noWrap/>
            <w:vAlign w:val="bottom"/>
            <w:hideMark/>
          </w:tcPr>
          <w:p w14:paraId="7B00DC77"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6B16B7C4" w14:textId="1449CF80"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28</w:t>
            </w:r>
            <w:r w:rsidR="00825000">
              <w:rPr>
                <w:rFonts w:ascii="Arial" w:hAnsi="Arial" w:cs="Arial"/>
              </w:rPr>
              <w:t xml:space="preserve"> %</w:t>
            </w:r>
          </w:p>
        </w:tc>
      </w:tr>
      <w:tr w:rsidR="006E75AE" w:rsidRPr="006E75AE" w14:paraId="758E412E"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22DCC3F3"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2012</w:t>
            </w:r>
          </w:p>
        </w:tc>
        <w:tc>
          <w:tcPr>
            <w:tcW w:w="1240" w:type="dxa"/>
            <w:tcBorders>
              <w:top w:val="nil"/>
              <w:left w:val="single" w:sz="4" w:space="0" w:color="auto"/>
              <w:bottom w:val="nil"/>
              <w:right w:val="single" w:sz="4" w:space="0" w:color="auto"/>
            </w:tcBorders>
            <w:shd w:val="clear" w:color="auto" w:fill="auto"/>
            <w:noWrap/>
            <w:vAlign w:val="bottom"/>
            <w:hideMark/>
          </w:tcPr>
          <w:p w14:paraId="22D9A558"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12A8ECB9" w14:textId="71373A36"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29</w:t>
            </w:r>
            <w:r w:rsidR="00825000">
              <w:rPr>
                <w:rFonts w:ascii="Arial" w:hAnsi="Arial" w:cs="Arial"/>
              </w:rPr>
              <w:t xml:space="preserve"> %</w:t>
            </w:r>
          </w:p>
        </w:tc>
      </w:tr>
      <w:tr w:rsidR="006E75AE" w:rsidRPr="006E75AE" w14:paraId="6BB480E4"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6D6788F4"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2013</w:t>
            </w:r>
          </w:p>
        </w:tc>
        <w:tc>
          <w:tcPr>
            <w:tcW w:w="1240" w:type="dxa"/>
            <w:tcBorders>
              <w:top w:val="nil"/>
              <w:left w:val="single" w:sz="4" w:space="0" w:color="auto"/>
              <w:bottom w:val="nil"/>
              <w:right w:val="single" w:sz="4" w:space="0" w:color="auto"/>
            </w:tcBorders>
            <w:shd w:val="clear" w:color="auto" w:fill="auto"/>
            <w:noWrap/>
            <w:vAlign w:val="bottom"/>
            <w:hideMark/>
          </w:tcPr>
          <w:p w14:paraId="19FC5385"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001CCB6B" w14:textId="25B5F52A"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29</w:t>
            </w:r>
            <w:r w:rsidR="00825000">
              <w:rPr>
                <w:rFonts w:ascii="Arial" w:hAnsi="Arial" w:cs="Arial"/>
              </w:rPr>
              <w:t xml:space="preserve"> %</w:t>
            </w:r>
          </w:p>
        </w:tc>
      </w:tr>
      <w:tr w:rsidR="006E75AE" w:rsidRPr="006E75AE" w14:paraId="4E88ED21"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06C18D70"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2014</w:t>
            </w:r>
          </w:p>
        </w:tc>
        <w:tc>
          <w:tcPr>
            <w:tcW w:w="1240" w:type="dxa"/>
            <w:tcBorders>
              <w:top w:val="nil"/>
              <w:left w:val="single" w:sz="4" w:space="0" w:color="auto"/>
              <w:bottom w:val="nil"/>
              <w:right w:val="single" w:sz="4" w:space="0" w:color="auto"/>
            </w:tcBorders>
            <w:shd w:val="clear" w:color="auto" w:fill="auto"/>
            <w:noWrap/>
            <w:vAlign w:val="bottom"/>
            <w:hideMark/>
          </w:tcPr>
          <w:p w14:paraId="74510067"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62897636" w14:textId="0524875D"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29</w:t>
            </w:r>
            <w:r w:rsidR="00825000">
              <w:rPr>
                <w:rFonts w:ascii="Arial" w:hAnsi="Arial" w:cs="Arial"/>
              </w:rPr>
              <w:t xml:space="preserve"> %</w:t>
            </w:r>
          </w:p>
        </w:tc>
      </w:tr>
      <w:tr w:rsidR="006E75AE" w:rsidRPr="006E75AE" w14:paraId="1D8EA1ED"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75FDD9F6"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2015</w:t>
            </w:r>
          </w:p>
        </w:tc>
        <w:tc>
          <w:tcPr>
            <w:tcW w:w="1240" w:type="dxa"/>
            <w:tcBorders>
              <w:top w:val="nil"/>
              <w:left w:val="single" w:sz="4" w:space="0" w:color="auto"/>
              <w:bottom w:val="nil"/>
              <w:right w:val="single" w:sz="4" w:space="0" w:color="auto"/>
            </w:tcBorders>
            <w:shd w:val="clear" w:color="auto" w:fill="auto"/>
            <w:noWrap/>
            <w:vAlign w:val="bottom"/>
            <w:hideMark/>
          </w:tcPr>
          <w:p w14:paraId="2D59D92A"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6AECE809" w14:textId="03D95DBB"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28</w:t>
            </w:r>
            <w:r w:rsidR="00825000">
              <w:rPr>
                <w:rFonts w:ascii="Arial" w:hAnsi="Arial" w:cs="Arial"/>
              </w:rPr>
              <w:t xml:space="preserve"> %</w:t>
            </w:r>
          </w:p>
        </w:tc>
      </w:tr>
      <w:tr w:rsidR="006E75AE" w:rsidRPr="006E75AE" w14:paraId="256A9107"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03E6AFEF"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2016</w:t>
            </w:r>
          </w:p>
        </w:tc>
        <w:tc>
          <w:tcPr>
            <w:tcW w:w="1240" w:type="dxa"/>
            <w:tcBorders>
              <w:top w:val="nil"/>
              <w:left w:val="single" w:sz="4" w:space="0" w:color="auto"/>
              <w:bottom w:val="nil"/>
              <w:right w:val="single" w:sz="4" w:space="0" w:color="auto"/>
            </w:tcBorders>
            <w:shd w:val="clear" w:color="auto" w:fill="auto"/>
            <w:noWrap/>
            <w:vAlign w:val="bottom"/>
            <w:hideMark/>
          </w:tcPr>
          <w:p w14:paraId="2B40B6D5"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6CB2E0E5" w14:textId="7BE0A6F3" w:rsidR="00F627BE" w:rsidRPr="006E75AE" w:rsidRDefault="009F69A0" w:rsidP="003B0CDB">
            <w:pPr>
              <w:overflowPunct/>
              <w:autoSpaceDE/>
              <w:autoSpaceDN/>
              <w:adjustRightInd/>
              <w:jc w:val="center"/>
              <w:textAlignment w:val="auto"/>
              <w:rPr>
                <w:rFonts w:ascii="Arial" w:hAnsi="Arial" w:cs="Arial"/>
              </w:rPr>
            </w:pPr>
            <w:r w:rsidRPr="006E75AE">
              <w:rPr>
                <w:rFonts w:ascii="Arial" w:hAnsi="Arial" w:cs="Arial"/>
              </w:rPr>
              <w:t>28</w:t>
            </w:r>
            <w:r w:rsidR="00825000">
              <w:rPr>
                <w:rFonts w:ascii="Arial" w:hAnsi="Arial" w:cs="Arial"/>
              </w:rPr>
              <w:t xml:space="preserve"> %</w:t>
            </w:r>
            <w:r w:rsidR="00F627BE" w:rsidRPr="006E75AE">
              <w:rPr>
                <w:rFonts w:ascii="Arial" w:hAnsi="Arial" w:cs="Arial"/>
              </w:rPr>
              <w:t>/</w:t>
            </w:r>
            <w:r w:rsidR="006E75AE" w:rsidRPr="006E75AE">
              <w:rPr>
                <w:rFonts w:ascii="Arial" w:hAnsi="Arial" w:cs="Arial"/>
              </w:rPr>
              <w:t>30</w:t>
            </w:r>
            <w:r w:rsidR="00825000">
              <w:rPr>
                <w:rFonts w:ascii="Arial" w:hAnsi="Arial" w:cs="Arial"/>
              </w:rPr>
              <w:t xml:space="preserve"> %</w:t>
            </w:r>
          </w:p>
        </w:tc>
      </w:tr>
      <w:tr w:rsidR="006E75AE" w:rsidRPr="006E75AE" w14:paraId="088FD738"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044A7950"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lastRenderedPageBreak/>
              <w:t>2017</w:t>
            </w:r>
          </w:p>
        </w:tc>
        <w:tc>
          <w:tcPr>
            <w:tcW w:w="1240" w:type="dxa"/>
            <w:tcBorders>
              <w:top w:val="nil"/>
              <w:left w:val="single" w:sz="4" w:space="0" w:color="auto"/>
              <w:bottom w:val="nil"/>
              <w:right w:val="single" w:sz="4" w:space="0" w:color="auto"/>
            </w:tcBorders>
            <w:shd w:val="clear" w:color="auto" w:fill="auto"/>
            <w:noWrap/>
            <w:vAlign w:val="bottom"/>
            <w:hideMark/>
          </w:tcPr>
          <w:p w14:paraId="6D1E4B4B"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3E3B6B4A" w14:textId="590218BD"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w:t>
            </w:r>
            <w:r w:rsidR="009F69A0" w:rsidRPr="006E75AE">
              <w:rPr>
                <w:rFonts w:ascii="Arial" w:hAnsi="Arial" w:cs="Arial"/>
              </w:rPr>
              <w:t>7</w:t>
            </w:r>
            <w:r w:rsidR="00825000">
              <w:rPr>
                <w:rFonts w:ascii="Arial" w:hAnsi="Arial" w:cs="Arial"/>
              </w:rPr>
              <w:t xml:space="preserve"> %</w:t>
            </w:r>
            <w:r w:rsidRPr="006E75AE">
              <w:rPr>
                <w:rFonts w:ascii="Arial" w:hAnsi="Arial" w:cs="Arial"/>
              </w:rPr>
              <w:t>/</w:t>
            </w:r>
            <w:r w:rsidR="006E75AE" w:rsidRPr="006E75AE">
              <w:rPr>
                <w:rFonts w:ascii="Arial" w:hAnsi="Arial" w:cs="Arial"/>
              </w:rPr>
              <w:t>30</w:t>
            </w:r>
            <w:r w:rsidR="00825000">
              <w:rPr>
                <w:rFonts w:ascii="Arial" w:hAnsi="Arial" w:cs="Arial"/>
              </w:rPr>
              <w:t xml:space="preserve"> %</w:t>
            </w:r>
          </w:p>
        </w:tc>
      </w:tr>
      <w:tr w:rsidR="006E75AE" w:rsidRPr="006E75AE" w14:paraId="3E75DAE4"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114030F3"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2018</w:t>
            </w:r>
          </w:p>
        </w:tc>
        <w:tc>
          <w:tcPr>
            <w:tcW w:w="1240" w:type="dxa"/>
            <w:tcBorders>
              <w:top w:val="nil"/>
              <w:left w:val="single" w:sz="4" w:space="0" w:color="auto"/>
              <w:bottom w:val="nil"/>
              <w:right w:val="single" w:sz="4" w:space="0" w:color="auto"/>
            </w:tcBorders>
            <w:shd w:val="clear" w:color="auto" w:fill="auto"/>
            <w:noWrap/>
            <w:vAlign w:val="bottom"/>
            <w:hideMark/>
          </w:tcPr>
          <w:p w14:paraId="57BB41EB"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45DCB0C2" w14:textId="6D3BEA0A"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w:t>
            </w:r>
            <w:r w:rsidR="006E75AE" w:rsidRPr="006E75AE">
              <w:rPr>
                <w:rFonts w:ascii="Arial" w:hAnsi="Arial" w:cs="Arial"/>
              </w:rPr>
              <w:t>5</w:t>
            </w:r>
            <w:r w:rsidR="00825000">
              <w:rPr>
                <w:rFonts w:ascii="Arial" w:hAnsi="Arial" w:cs="Arial"/>
              </w:rPr>
              <w:t xml:space="preserve"> %</w:t>
            </w:r>
            <w:r w:rsidRPr="006E75AE">
              <w:rPr>
                <w:rFonts w:ascii="Arial" w:hAnsi="Arial" w:cs="Arial"/>
              </w:rPr>
              <w:t>/2</w:t>
            </w:r>
            <w:r w:rsidR="006E75AE" w:rsidRPr="006E75AE">
              <w:rPr>
                <w:rFonts w:ascii="Arial" w:hAnsi="Arial" w:cs="Arial"/>
              </w:rPr>
              <w:t>8</w:t>
            </w:r>
            <w:r w:rsidR="00825000">
              <w:rPr>
                <w:rFonts w:ascii="Arial" w:hAnsi="Arial" w:cs="Arial"/>
              </w:rPr>
              <w:t xml:space="preserve"> %</w:t>
            </w:r>
          </w:p>
        </w:tc>
      </w:tr>
      <w:tr w:rsidR="006E75AE" w:rsidRPr="006E75AE" w14:paraId="67EE6982" w14:textId="77777777" w:rsidTr="00ED463B">
        <w:trPr>
          <w:trHeight w:val="288"/>
        </w:trPr>
        <w:tc>
          <w:tcPr>
            <w:tcW w:w="2145" w:type="dxa"/>
            <w:tcBorders>
              <w:top w:val="nil"/>
              <w:bottom w:val="nil"/>
              <w:right w:val="single" w:sz="4" w:space="0" w:color="auto"/>
            </w:tcBorders>
            <w:shd w:val="clear" w:color="000000" w:fill="D9D9D9"/>
            <w:noWrap/>
            <w:vAlign w:val="bottom"/>
            <w:hideMark/>
          </w:tcPr>
          <w:p w14:paraId="4A5B438E"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2019</w:t>
            </w:r>
          </w:p>
        </w:tc>
        <w:tc>
          <w:tcPr>
            <w:tcW w:w="1240" w:type="dxa"/>
            <w:tcBorders>
              <w:top w:val="nil"/>
              <w:left w:val="single" w:sz="4" w:space="0" w:color="auto"/>
              <w:bottom w:val="nil"/>
              <w:right w:val="single" w:sz="4" w:space="0" w:color="auto"/>
            </w:tcBorders>
            <w:shd w:val="clear" w:color="auto" w:fill="auto"/>
            <w:noWrap/>
            <w:vAlign w:val="bottom"/>
            <w:hideMark/>
          </w:tcPr>
          <w:p w14:paraId="2EBB70C6"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nil"/>
            </w:tcBorders>
            <w:shd w:val="clear" w:color="auto" w:fill="auto"/>
            <w:noWrap/>
            <w:vAlign w:val="bottom"/>
            <w:hideMark/>
          </w:tcPr>
          <w:p w14:paraId="67E21938" w14:textId="04DB501C"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2</w:t>
            </w:r>
            <w:r w:rsidR="006E75AE" w:rsidRPr="006E75AE">
              <w:rPr>
                <w:rFonts w:ascii="Arial" w:hAnsi="Arial" w:cs="Arial"/>
              </w:rPr>
              <w:t>5</w:t>
            </w:r>
            <w:r w:rsidR="00825000">
              <w:rPr>
                <w:rFonts w:ascii="Arial" w:hAnsi="Arial" w:cs="Arial"/>
              </w:rPr>
              <w:t xml:space="preserve"> %</w:t>
            </w:r>
            <w:r w:rsidRPr="006E75AE">
              <w:rPr>
                <w:rFonts w:ascii="Arial" w:hAnsi="Arial" w:cs="Arial"/>
              </w:rPr>
              <w:t>/2</w:t>
            </w:r>
            <w:r w:rsidR="006E75AE" w:rsidRPr="006E75AE">
              <w:rPr>
                <w:rFonts w:ascii="Arial" w:hAnsi="Arial" w:cs="Arial"/>
              </w:rPr>
              <w:t>7</w:t>
            </w:r>
            <w:r w:rsidR="00825000">
              <w:rPr>
                <w:rFonts w:ascii="Arial" w:hAnsi="Arial" w:cs="Arial"/>
              </w:rPr>
              <w:t xml:space="preserve"> %</w:t>
            </w:r>
          </w:p>
        </w:tc>
      </w:tr>
      <w:tr w:rsidR="006E75AE" w:rsidRPr="006E75AE" w14:paraId="6AE7CC58" w14:textId="77777777" w:rsidTr="00ED463B">
        <w:trPr>
          <w:trHeight w:val="300"/>
        </w:trPr>
        <w:tc>
          <w:tcPr>
            <w:tcW w:w="2145" w:type="dxa"/>
            <w:tcBorders>
              <w:top w:val="nil"/>
              <w:bottom w:val="double" w:sz="6" w:space="0" w:color="auto"/>
              <w:right w:val="single" w:sz="4" w:space="0" w:color="auto"/>
            </w:tcBorders>
            <w:shd w:val="clear" w:color="000000" w:fill="D9D9D9"/>
            <w:noWrap/>
            <w:vAlign w:val="bottom"/>
            <w:hideMark/>
          </w:tcPr>
          <w:p w14:paraId="40529D35" w14:textId="77777777" w:rsidR="00F627BE" w:rsidRPr="006E75AE" w:rsidRDefault="00F627BE" w:rsidP="003B0CDB">
            <w:pPr>
              <w:overflowPunct/>
              <w:autoSpaceDE/>
              <w:autoSpaceDN/>
              <w:adjustRightInd/>
              <w:jc w:val="center"/>
              <w:textAlignment w:val="auto"/>
              <w:rPr>
                <w:rFonts w:ascii="Arial" w:hAnsi="Arial" w:cs="Arial"/>
                <w:b/>
                <w:bCs/>
              </w:rPr>
            </w:pPr>
            <w:r w:rsidRPr="006E75AE">
              <w:rPr>
                <w:rFonts w:ascii="Arial" w:hAnsi="Arial" w:cs="Arial"/>
                <w:b/>
                <w:bCs/>
              </w:rPr>
              <w:t>2020</w:t>
            </w:r>
          </w:p>
        </w:tc>
        <w:tc>
          <w:tcPr>
            <w:tcW w:w="1240" w:type="dxa"/>
            <w:tcBorders>
              <w:top w:val="nil"/>
              <w:left w:val="single" w:sz="4" w:space="0" w:color="auto"/>
              <w:bottom w:val="double" w:sz="6" w:space="0" w:color="auto"/>
              <w:right w:val="single" w:sz="4" w:space="0" w:color="auto"/>
            </w:tcBorders>
            <w:shd w:val="clear" w:color="auto" w:fill="auto"/>
            <w:noWrap/>
            <w:vAlign w:val="bottom"/>
            <w:hideMark/>
          </w:tcPr>
          <w:p w14:paraId="5A115DA2" w14:textId="77777777" w:rsidR="00F627BE" w:rsidRPr="006E75AE" w:rsidRDefault="00F627BE" w:rsidP="003B0CDB">
            <w:pPr>
              <w:overflowPunct/>
              <w:autoSpaceDE/>
              <w:autoSpaceDN/>
              <w:adjustRightInd/>
              <w:jc w:val="center"/>
              <w:textAlignment w:val="auto"/>
              <w:rPr>
                <w:rFonts w:ascii="Arial" w:hAnsi="Arial" w:cs="Arial"/>
              </w:rPr>
            </w:pPr>
            <w:r w:rsidRPr="006E75AE">
              <w:rPr>
                <w:rFonts w:ascii="Arial" w:hAnsi="Arial" w:cs="Arial"/>
              </w:rPr>
              <w:t>verletzt</w:t>
            </w:r>
          </w:p>
        </w:tc>
        <w:tc>
          <w:tcPr>
            <w:tcW w:w="1320" w:type="dxa"/>
            <w:tcBorders>
              <w:top w:val="nil"/>
              <w:left w:val="single" w:sz="4" w:space="0" w:color="auto"/>
              <w:bottom w:val="double" w:sz="6" w:space="0" w:color="auto"/>
            </w:tcBorders>
            <w:shd w:val="clear" w:color="auto" w:fill="auto"/>
            <w:noWrap/>
            <w:vAlign w:val="bottom"/>
            <w:hideMark/>
          </w:tcPr>
          <w:p w14:paraId="674205DD" w14:textId="6758C842" w:rsidR="00F627BE" w:rsidRPr="006E75AE" w:rsidRDefault="006E75AE" w:rsidP="003B0CDB">
            <w:pPr>
              <w:overflowPunct/>
              <w:autoSpaceDE/>
              <w:autoSpaceDN/>
              <w:adjustRightInd/>
              <w:jc w:val="center"/>
              <w:textAlignment w:val="auto"/>
              <w:rPr>
                <w:rFonts w:ascii="Arial" w:hAnsi="Arial" w:cs="Arial"/>
              </w:rPr>
            </w:pPr>
            <w:r w:rsidRPr="006E75AE">
              <w:rPr>
                <w:rFonts w:ascii="Arial" w:hAnsi="Arial" w:cs="Arial"/>
              </w:rPr>
              <w:t>22</w:t>
            </w:r>
            <w:r w:rsidR="00825000">
              <w:rPr>
                <w:rFonts w:ascii="Arial" w:hAnsi="Arial" w:cs="Arial"/>
              </w:rPr>
              <w:t xml:space="preserve"> %</w:t>
            </w:r>
            <w:r w:rsidR="00F627BE" w:rsidRPr="006E75AE">
              <w:rPr>
                <w:rFonts w:ascii="Arial" w:hAnsi="Arial" w:cs="Arial"/>
              </w:rPr>
              <w:t>/2</w:t>
            </w:r>
            <w:r w:rsidRPr="006E75AE">
              <w:rPr>
                <w:rFonts w:ascii="Arial" w:hAnsi="Arial" w:cs="Arial"/>
              </w:rPr>
              <w:t>4</w:t>
            </w:r>
            <w:r w:rsidR="00825000">
              <w:rPr>
                <w:rFonts w:ascii="Arial" w:hAnsi="Arial" w:cs="Arial"/>
              </w:rPr>
              <w:t xml:space="preserve"> %</w:t>
            </w:r>
          </w:p>
        </w:tc>
      </w:tr>
    </w:tbl>
    <w:p w14:paraId="6ECAAF15" w14:textId="77777777" w:rsidR="004E5FAD" w:rsidRDefault="004E5FAD" w:rsidP="003B0CDB">
      <w:pPr>
        <w:overflowPunct/>
        <w:autoSpaceDE/>
        <w:autoSpaceDN/>
        <w:adjustRightInd/>
        <w:spacing w:line="276" w:lineRule="auto"/>
        <w:contextualSpacing/>
        <w:textAlignment w:val="auto"/>
        <w:rPr>
          <w:rFonts w:ascii="Arial" w:eastAsia="Calibri" w:hAnsi="Arial" w:cs="Arial"/>
          <w:sz w:val="24"/>
          <w:szCs w:val="24"/>
          <w:lang w:eastAsia="en-US"/>
        </w:rPr>
      </w:pPr>
    </w:p>
    <w:p w14:paraId="22CE9EB1" w14:textId="61E5D731" w:rsidR="003063E5" w:rsidRDefault="004C7CA3" w:rsidP="003063E5">
      <w:pPr>
        <w:overflowPunct/>
        <w:spacing w:line="276" w:lineRule="auto"/>
        <w:textAlignment w:val="auto"/>
        <w:rPr>
          <w:rFonts w:ascii="Arial" w:eastAsia="Calibri" w:hAnsi="Arial" w:cs="Arial"/>
          <w:sz w:val="24"/>
          <w:szCs w:val="24"/>
          <w:lang w:eastAsia="en-US"/>
        </w:rPr>
      </w:pPr>
      <w:r>
        <w:rPr>
          <w:rFonts w:ascii="Arial" w:eastAsia="Calibri" w:hAnsi="Arial" w:cs="Arial"/>
          <w:sz w:val="24"/>
          <w:szCs w:val="24"/>
          <w:lang w:eastAsia="en-US"/>
        </w:rPr>
        <w:t xml:space="preserve">bb) </w:t>
      </w:r>
      <w:r w:rsidR="003063E5">
        <w:rPr>
          <w:rFonts w:ascii="Arial" w:eastAsia="Calibri" w:hAnsi="Arial" w:cs="Arial"/>
          <w:sz w:val="24"/>
          <w:szCs w:val="24"/>
          <w:lang w:eastAsia="en-US"/>
        </w:rPr>
        <w:t>D</w:t>
      </w:r>
      <w:r w:rsidR="003063E5" w:rsidRPr="00D06984">
        <w:rPr>
          <w:rFonts w:ascii="Arial" w:eastAsia="Calibri" w:hAnsi="Arial" w:cs="Arial"/>
          <w:sz w:val="24"/>
          <w:szCs w:val="24"/>
          <w:lang w:eastAsia="en-US"/>
        </w:rPr>
        <w:t xml:space="preserve">ie Nettoalimentation eines in der niedrigsten Besoldungsgruppe </w:t>
      </w:r>
      <w:r w:rsidR="003063E5">
        <w:rPr>
          <w:rFonts w:ascii="Arial" w:eastAsia="Calibri" w:hAnsi="Arial" w:cs="Arial"/>
          <w:sz w:val="24"/>
          <w:szCs w:val="24"/>
          <w:lang w:eastAsia="en-US"/>
        </w:rPr>
        <w:t xml:space="preserve">und dort </w:t>
      </w:r>
      <w:r w:rsidR="003063E5" w:rsidRPr="00D06984">
        <w:rPr>
          <w:rFonts w:ascii="Arial" w:eastAsia="Calibri" w:hAnsi="Arial" w:cs="Arial"/>
          <w:sz w:val="24"/>
          <w:szCs w:val="24"/>
          <w:lang w:eastAsia="en-US"/>
        </w:rPr>
        <w:t>in der niedrigsten Erfahrungsstufe besoldeten Beamten, der verheiratet ist und zwei Kinder hat</w:t>
      </w:r>
      <w:r w:rsidR="003063E5">
        <w:rPr>
          <w:rFonts w:ascii="Arial" w:eastAsia="Calibri" w:hAnsi="Arial" w:cs="Arial"/>
          <w:sz w:val="24"/>
          <w:szCs w:val="24"/>
          <w:lang w:eastAsia="en-US"/>
        </w:rPr>
        <w:t xml:space="preserve">, unterschreitet </w:t>
      </w:r>
      <w:r w:rsidR="006B1F35">
        <w:rPr>
          <w:rFonts w:ascii="Arial" w:eastAsia="Calibri" w:hAnsi="Arial" w:cs="Arial"/>
          <w:sz w:val="24"/>
          <w:szCs w:val="24"/>
          <w:lang w:eastAsia="en-US"/>
        </w:rPr>
        <w:t>nicht nur die 115</w:t>
      </w:r>
      <w:r w:rsidR="00DE00CF">
        <w:rPr>
          <w:rFonts w:ascii="Arial" w:eastAsia="Calibri" w:hAnsi="Arial" w:cs="Arial"/>
          <w:sz w:val="24"/>
          <w:szCs w:val="24"/>
          <w:lang w:eastAsia="en-US"/>
        </w:rPr>
        <w:t xml:space="preserve"> </w:t>
      </w:r>
      <w:r w:rsidR="006B1F35">
        <w:rPr>
          <w:rFonts w:ascii="Arial" w:eastAsia="Calibri" w:hAnsi="Arial" w:cs="Arial"/>
          <w:sz w:val="24"/>
          <w:szCs w:val="24"/>
          <w:lang w:eastAsia="en-US"/>
        </w:rPr>
        <w:t xml:space="preserve">%-Grenze der </w:t>
      </w:r>
      <w:r w:rsidR="00BF618E" w:rsidRPr="00BF618E">
        <w:rPr>
          <w:rFonts w:ascii="Arial" w:eastAsia="Calibri" w:hAnsi="Arial" w:cs="Arial"/>
          <w:sz w:val="24"/>
          <w:szCs w:val="24"/>
          <w:lang w:eastAsia="en-US"/>
        </w:rPr>
        <w:t>Mindestalimentation</w:t>
      </w:r>
      <w:r w:rsidR="00E1234B">
        <w:rPr>
          <w:rFonts w:ascii="Arial" w:eastAsia="Calibri" w:hAnsi="Arial" w:cs="Arial"/>
          <w:sz w:val="24"/>
          <w:szCs w:val="24"/>
          <w:lang w:eastAsia="en-US"/>
        </w:rPr>
        <w:t>,</w:t>
      </w:r>
      <w:r w:rsidR="006B1F35">
        <w:rPr>
          <w:rFonts w:ascii="Arial" w:eastAsia="Calibri" w:hAnsi="Arial" w:cs="Arial"/>
          <w:sz w:val="24"/>
          <w:szCs w:val="24"/>
          <w:lang w:eastAsia="en-US"/>
        </w:rPr>
        <w:t xml:space="preserve"> sondern</w:t>
      </w:r>
      <w:r w:rsidR="00BF618E" w:rsidRPr="00BF618E">
        <w:rPr>
          <w:rFonts w:ascii="Arial" w:eastAsia="Calibri" w:hAnsi="Arial" w:cs="Arial"/>
          <w:sz w:val="24"/>
          <w:szCs w:val="24"/>
          <w:lang w:eastAsia="en-US"/>
        </w:rPr>
        <w:t xml:space="preserve"> </w:t>
      </w:r>
      <w:r w:rsidR="00E1234B">
        <w:rPr>
          <w:rFonts w:ascii="Arial" w:eastAsia="Calibri" w:hAnsi="Arial" w:cs="Arial"/>
          <w:sz w:val="24"/>
          <w:szCs w:val="24"/>
          <w:lang w:eastAsia="en-US"/>
        </w:rPr>
        <w:t>auch</w:t>
      </w:r>
      <w:r w:rsidR="003063E5">
        <w:rPr>
          <w:rFonts w:ascii="Arial" w:eastAsia="Calibri" w:hAnsi="Arial" w:cs="Arial"/>
          <w:sz w:val="24"/>
          <w:szCs w:val="24"/>
          <w:lang w:eastAsia="en-US"/>
        </w:rPr>
        <w:t xml:space="preserve"> den Grundsicherungsbedarf ganz</w:t>
      </w:r>
      <w:r w:rsidR="00AC1C84">
        <w:rPr>
          <w:rFonts w:ascii="Arial" w:eastAsia="Calibri" w:hAnsi="Arial" w:cs="Arial"/>
          <w:sz w:val="24"/>
          <w:szCs w:val="24"/>
          <w:lang w:eastAsia="en-US"/>
        </w:rPr>
        <w:t xml:space="preserve"> erheblich</w:t>
      </w:r>
      <w:r w:rsidR="005C2F24">
        <w:rPr>
          <w:rFonts w:ascii="Arial" w:eastAsia="Calibri" w:hAnsi="Arial" w:cs="Arial"/>
          <w:sz w:val="24"/>
          <w:szCs w:val="24"/>
          <w:lang w:eastAsia="en-US"/>
        </w:rPr>
        <w:t>:</w:t>
      </w:r>
    </w:p>
    <w:p w14:paraId="6BAABB0C" w14:textId="77777777" w:rsidR="003063E5" w:rsidRDefault="003063E5" w:rsidP="003063E5">
      <w:pPr>
        <w:overflowPunct/>
        <w:spacing w:line="276" w:lineRule="auto"/>
        <w:textAlignment w:val="auto"/>
        <w:rPr>
          <w:rFonts w:ascii="Arial" w:eastAsia="Calibri" w:hAnsi="Arial" w:cs="Arial"/>
          <w:sz w:val="24"/>
          <w:szCs w:val="24"/>
          <w:lang w:eastAsia="en-US"/>
        </w:rPr>
      </w:pPr>
    </w:p>
    <w:tbl>
      <w:tblPr>
        <w:tblW w:w="10100" w:type="dxa"/>
        <w:tblCellMar>
          <w:left w:w="70" w:type="dxa"/>
          <w:right w:w="70" w:type="dxa"/>
        </w:tblCellMar>
        <w:tblLook w:val="04A0" w:firstRow="1" w:lastRow="0" w:firstColumn="1" w:lastColumn="0" w:noHBand="0" w:noVBand="1"/>
      </w:tblPr>
      <w:tblGrid>
        <w:gridCol w:w="3320"/>
        <w:gridCol w:w="1340"/>
        <w:gridCol w:w="1360"/>
        <w:gridCol w:w="1360"/>
        <w:gridCol w:w="1360"/>
        <w:gridCol w:w="1360"/>
      </w:tblGrid>
      <w:tr w:rsidR="003063E5" w:rsidRPr="008B6DFA" w14:paraId="521D6163" w14:textId="77777777" w:rsidTr="00150EED">
        <w:trPr>
          <w:trHeight w:val="312"/>
        </w:trPr>
        <w:tc>
          <w:tcPr>
            <w:tcW w:w="3320" w:type="dxa"/>
            <w:tcBorders>
              <w:top w:val="double" w:sz="6" w:space="0" w:color="auto"/>
              <w:left w:val="double" w:sz="6" w:space="0" w:color="auto"/>
              <w:bottom w:val="single" w:sz="8" w:space="0" w:color="auto"/>
              <w:right w:val="single" w:sz="4" w:space="0" w:color="auto"/>
            </w:tcBorders>
            <w:shd w:val="clear" w:color="000000" w:fill="FFFFFF"/>
            <w:noWrap/>
            <w:vAlign w:val="bottom"/>
            <w:hideMark/>
          </w:tcPr>
          <w:p w14:paraId="0FD6B7E5" w14:textId="77777777" w:rsidR="003063E5" w:rsidRPr="004F0A61" w:rsidRDefault="003063E5" w:rsidP="00150EED">
            <w:pPr>
              <w:overflowPunct/>
              <w:autoSpaceDE/>
              <w:autoSpaceDN/>
              <w:adjustRightInd/>
              <w:textAlignment w:val="auto"/>
              <w:rPr>
                <w:rFonts w:ascii="Arial" w:hAnsi="Arial" w:cs="Arial"/>
                <w:b/>
                <w:bCs/>
                <w:color w:val="000000"/>
              </w:rPr>
            </w:pPr>
            <w:r w:rsidRPr="004F0A61">
              <w:rPr>
                <w:rFonts w:ascii="Arial" w:hAnsi="Arial" w:cs="Arial"/>
                <w:b/>
                <w:bCs/>
                <w:color w:val="000000"/>
              </w:rPr>
              <w:t> </w:t>
            </w:r>
          </w:p>
        </w:tc>
        <w:tc>
          <w:tcPr>
            <w:tcW w:w="1340" w:type="dxa"/>
            <w:tcBorders>
              <w:top w:val="double" w:sz="6" w:space="0" w:color="auto"/>
              <w:left w:val="nil"/>
              <w:bottom w:val="single" w:sz="8" w:space="0" w:color="auto"/>
              <w:right w:val="single" w:sz="4" w:space="0" w:color="auto"/>
            </w:tcBorders>
            <w:shd w:val="clear" w:color="000000" w:fill="FFFFFF"/>
            <w:noWrap/>
            <w:vAlign w:val="bottom"/>
            <w:hideMark/>
          </w:tcPr>
          <w:p w14:paraId="3B597B79" w14:textId="77777777" w:rsidR="003063E5" w:rsidRPr="004F0A61" w:rsidRDefault="003063E5" w:rsidP="00150EED">
            <w:pPr>
              <w:overflowPunct/>
              <w:autoSpaceDE/>
              <w:autoSpaceDN/>
              <w:adjustRightInd/>
              <w:jc w:val="center"/>
              <w:textAlignment w:val="auto"/>
              <w:rPr>
                <w:rFonts w:ascii="Arial" w:hAnsi="Arial" w:cs="Arial"/>
                <w:b/>
                <w:bCs/>
                <w:color w:val="000000"/>
              </w:rPr>
            </w:pPr>
            <w:r w:rsidRPr="004F0A61">
              <w:rPr>
                <w:rFonts w:ascii="Arial" w:hAnsi="Arial" w:cs="Arial"/>
                <w:b/>
                <w:bCs/>
                <w:color w:val="000000"/>
              </w:rPr>
              <w:t>2016</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72E29C08" w14:textId="77777777" w:rsidR="003063E5" w:rsidRPr="004F0A61" w:rsidRDefault="003063E5" w:rsidP="00150EED">
            <w:pPr>
              <w:overflowPunct/>
              <w:autoSpaceDE/>
              <w:autoSpaceDN/>
              <w:adjustRightInd/>
              <w:jc w:val="center"/>
              <w:textAlignment w:val="auto"/>
              <w:rPr>
                <w:rFonts w:ascii="Arial" w:hAnsi="Arial" w:cs="Arial"/>
                <w:b/>
                <w:bCs/>
                <w:color w:val="000000"/>
              </w:rPr>
            </w:pPr>
            <w:r w:rsidRPr="004F0A61">
              <w:rPr>
                <w:rFonts w:ascii="Arial" w:hAnsi="Arial" w:cs="Arial"/>
                <w:b/>
                <w:bCs/>
                <w:color w:val="000000"/>
              </w:rPr>
              <w:t>2017</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7A88DF41" w14:textId="77777777" w:rsidR="003063E5" w:rsidRPr="004F0A61" w:rsidRDefault="003063E5" w:rsidP="00150EED">
            <w:pPr>
              <w:overflowPunct/>
              <w:autoSpaceDE/>
              <w:autoSpaceDN/>
              <w:adjustRightInd/>
              <w:jc w:val="center"/>
              <w:textAlignment w:val="auto"/>
              <w:rPr>
                <w:rFonts w:ascii="Arial" w:hAnsi="Arial" w:cs="Arial"/>
                <w:b/>
                <w:bCs/>
                <w:color w:val="000000"/>
              </w:rPr>
            </w:pPr>
            <w:r w:rsidRPr="004F0A61">
              <w:rPr>
                <w:rFonts w:ascii="Arial" w:hAnsi="Arial" w:cs="Arial"/>
                <w:b/>
                <w:bCs/>
                <w:color w:val="000000"/>
              </w:rPr>
              <w:t>2018</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6FE9C6A8" w14:textId="77777777" w:rsidR="003063E5" w:rsidRPr="004F0A61" w:rsidRDefault="003063E5" w:rsidP="00150EED">
            <w:pPr>
              <w:overflowPunct/>
              <w:autoSpaceDE/>
              <w:autoSpaceDN/>
              <w:adjustRightInd/>
              <w:jc w:val="center"/>
              <w:textAlignment w:val="auto"/>
              <w:rPr>
                <w:rFonts w:ascii="Arial" w:hAnsi="Arial" w:cs="Arial"/>
                <w:b/>
                <w:bCs/>
                <w:color w:val="000000"/>
              </w:rPr>
            </w:pPr>
            <w:r w:rsidRPr="004F0A61">
              <w:rPr>
                <w:rFonts w:ascii="Arial" w:hAnsi="Arial" w:cs="Arial"/>
                <w:b/>
                <w:bCs/>
                <w:color w:val="000000"/>
              </w:rPr>
              <w:t>2019</w:t>
            </w:r>
          </w:p>
        </w:tc>
        <w:tc>
          <w:tcPr>
            <w:tcW w:w="1360" w:type="dxa"/>
            <w:tcBorders>
              <w:top w:val="double" w:sz="6" w:space="0" w:color="auto"/>
              <w:left w:val="nil"/>
              <w:bottom w:val="single" w:sz="8" w:space="0" w:color="auto"/>
              <w:right w:val="double" w:sz="6" w:space="0" w:color="auto"/>
            </w:tcBorders>
            <w:shd w:val="clear" w:color="000000" w:fill="FFFFFF"/>
            <w:noWrap/>
            <w:vAlign w:val="bottom"/>
            <w:hideMark/>
          </w:tcPr>
          <w:p w14:paraId="76771995" w14:textId="77777777" w:rsidR="003063E5" w:rsidRPr="004F0A61" w:rsidRDefault="003063E5" w:rsidP="00150EED">
            <w:pPr>
              <w:overflowPunct/>
              <w:autoSpaceDE/>
              <w:autoSpaceDN/>
              <w:adjustRightInd/>
              <w:jc w:val="center"/>
              <w:textAlignment w:val="auto"/>
              <w:rPr>
                <w:rFonts w:ascii="Arial" w:hAnsi="Arial" w:cs="Arial"/>
                <w:b/>
                <w:bCs/>
                <w:color w:val="000000"/>
              </w:rPr>
            </w:pPr>
            <w:r w:rsidRPr="004F0A61">
              <w:rPr>
                <w:rFonts w:ascii="Arial" w:hAnsi="Arial" w:cs="Arial"/>
                <w:b/>
                <w:bCs/>
                <w:color w:val="000000"/>
              </w:rPr>
              <w:t>2020</w:t>
            </w:r>
          </w:p>
        </w:tc>
      </w:tr>
      <w:tr w:rsidR="003063E5" w:rsidRPr="008B6DFA" w14:paraId="57F232AF" w14:textId="77777777" w:rsidTr="00150EED">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4C2E0155" w14:textId="77777777" w:rsidR="003063E5" w:rsidRPr="004F0A61" w:rsidRDefault="003063E5" w:rsidP="00150EED">
            <w:pPr>
              <w:overflowPunct/>
              <w:autoSpaceDE/>
              <w:autoSpaceDN/>
              <w:adjustRightInd/>
              <w:textAlignment w:val="auto"/>
              <w:rPr>
                <w:rFonts w:ascii="Arial" w:hAnsi="Arial" w:cs="Arial"/>
                <w:b/>
                <w:bCs/>
              </w:rPr>
            </w:pPr>
            <w:r w:rsidRPr="004F0A61">
              <w:rPr>
                <w:rFonts w:ascii="Arial" w:hAnsi="Arial" w:cs="Arial"/>
                <w:b/>
                <w:bCs/>
              </w:rPr>
              <w:t>Grundsicherungsbedarf /Jahr</w:t>
            </w:r>
          </w:p>
        </w:tc>
        <w:tc>
          <w:tcPr>
            <w:tcW w:w="1340" w:type="dxa"/>
            <w:tcBorders>
              <w:top w:val="nil"/>
              <w:left w:val="nil"/>
              <w:bottom w:val="nil"/>
              <w:right w:val="single" w:sz="4" w:space="0" w:color="auto"/>
            </w:tcBorders>
            <w:shd w:val="clear" w:color="auto" w:fill="auto"/>
            <w:noWrap/>
            <w:vAlign w:val="bottom"/>
            <w:hideMark/>
          </w:tcPr>
          <w:p w14:paraId="1BF60913"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29.992,56 €</w:t>
            </w:r>
          </w:p>
        </w:tc>
        <w:tc>
          <w:tcPr>
            <w:tcW w:w="1360" w:type="dxa"/>
            <w:tcBorders>
              <w:top w:val="nil"/>
              <w:left w:val="nil"/>
              <w:bottom w:val="nil"/>
              <w:right w:val="single" w:sz="4" w:space="0" w:color="auto"/>
            </w:tcBorders>
            <w:shd w:val="clear" w:color="auto" w:fill="auto"/>
            <w:noWrap/>
            <w:vAlign w:val="bottom"/>
            <w:hideMark/>
          </w:tcPr>
          <w:p w14:paraId="48C6E6A8"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30.896,49 €</w:t>
            </w:r>
          </w:p>
        </w:tc>
        <w:tc>
          <w:tcPr>
            <w:tcW w:w="1360" w:type="dxa"/>
            <w:tcBorders>
              <w:top w:val="nil"/>
              <w:left w:val="nil"/>
              <w:bottom w:val="nil"/>
              <w:right w:val="single" w:sz="4" w:space="0" w:color="auto"/>
            </w:tcBorders>
            <w:shd w:val="clear" w:color="auto" w:fill="auto"/>
            <w:noWrap/>
            <w:vAlign w:val="bottom"/>
            <w:hideMark/>
          </w:tcPr>
          <w:p w14:paraId="118BA32F"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31.702,15 €</w:t>
            </w:r>
          </w:p>
        </w:tc>
        <w:tc>
          <w:tcPr>
            <w:tcW w:w="1360" w:type="dxa"/>
            <w:tcBorders>
              <w:top w:val="nil"/>
              <w:left w:val="nil"/>
              <w:bottom w:val="nil"/>
              <w:right w:val="single" w:sz="4" w:space="0" w:color="auto"/>
            </w:tcBorders>
            <w:shd w:val="clear" w:color="auto" w:fill="auto"/>
            <w:noWrap/>
            <w:vAlign w:val="bottom"/>
            <w:hideMark/>
          </w:tcPr>
          <w:p w14:paraId="350007FC"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32.621,63 €</w:t>
            </w:r>
          </w:p>
        </w:tc>
        <w:tc>
          <w:tcPr>
            <w:tcW w:w="1360" w:type="dxa"/>
            <w:tcBorders>
              <w:top w:val="nil"/>
              <w:left w:val="nil"/>
              <w:bottom w:val="nil"/>
              <w:right w:val="double" w:sz="6" w:space="0" w:color="auto"/>
            </w:tcBorders>
            <w:shd w:val="clear" w:color="auto" w:fill="auto"/>
            <w:noWrap/>
            <w:vAlign w:val="bottom"/>
            <w:hideMark/>
          </w:tcPr>
          <w:p w14:paraId="5D3F1414"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33.106,04 €</w:t>
            </w:r>
          </w:p>
        </w:tc>
      </w:tr>
      <w:tr w:rsidR="003063E5" w:rsidRPr="008B6DFA" w14:paraId="15D2AEB4" w14:textId="77777777" w:rsidTr="00150EED">
        <w:trPr>
          <w:trHeight w:val="300"/>
        </w:trPr>
        <w:tc>
          <w:tcPr>
            <w:tcW w:w="3320" w:type="dxa"/>
            <w:tcBorders>
              <w:top w:val="nil"/>
              <w:left w:val="double" w:sz="6" w:space="0" w:color="auto"/>
              <w:bottom w:val="nil"/>
              <w:right w:val="single" w:sz="4" w:space="0" w:color="auto"/>
            </w:tcBorders>
            <w:shd w:val="clear" w:color="000000" w:fill="D9D9D9"/>
            <w:noWrap/>
            <w:vAlign w:val="bottom"/>
            <w:hideMark/>
          </w:tcPr>
          <w:p w14:paraId="018F413D" w14:textId="77777777" w:rsidR="003063E5" w:rsidRPr="004F0A61" w:rsidRDefault="003063E5" w:rsidP="00150EED">
            <w:pPr>
              <w:overflowPunct/>
              <w:autoSpaceDE/>
              <w:autoSpaceDN/>
              <w:adjustRightInd/>
              <w:textAlignment w:val="auto"/>
              <w:rPr>
                <w:rFonts w:ascii="Arial" w:hAnsi="Arial" w:cs="Arial"/>
                <w:b/>
                <w:bCs/>
              </w:rPr>
            </w:pPr>
            <w:r w:rsidRPr="004F0A61">
              <w:rPr>
                <w:rFonts w:ascii="Arial" w:hAnsi="Arial" w:cs="Arial"/>
                <w:b/>
                <w:bCs/>
              </w:rPr>
              <w:t>Nettoalimentation A4 /Jahr</w:t>
            </w:r>
          </w:p>
        </w:tc>
        <w:tc>
          <w:tcPr>
            <w:tcW w:w="1340" w:type="dxa"/>
            <w:tcBorders>
              <w:top w:val="nil"/>
              <w:left w:val="nil"/>
              <w:bottom w:val="nil"/>
              <w:right w:val="single" w:sz="4" w:space="0" w:color="auto"/>
            </w:tcBorders>
            <w:shd w:val="clear" w:color="auto" w:fill="auto"/>
            <w:noWrap/>
            <w:vAlign w:val="bottom"/>
            <w:hideMark/>
          </w:tcPr>
          <w:p w14:paraId="6FC67695"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24.987,07 €</w:t>
            </w:r>
          </w:p>
        </w:tc>
        <w:tc>
          <w:tcPr>
            <w:tcW w:w="1360" w:type="dxa"/>
            <w:tcBorders>
              <w:top w:val="nil"/>
              <w:left w:val="nil"/>
              <w:bottom w:val="nil"/>
              <w:right w:val="single" w:sz="4" w:space="0" w:color="auto"/>
            </w:tcBorders>
            <w:shd w:val="clear" w:color="auto" w:fill="auto"/>
            <w:noWrap/>
            <w:vAlign w:val="bottom"/>
            <w:hideMark/>
          </w:tcPr>
          <w:p w14:paraId="2BC01F87"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25.815,25 €</w:t>
            </w:r>
          </w:p>
        </w:tc>
        <w:tc>
          <w:tcPr>
            <w:tcW w:w="1360" w:type="dxa"/>
            <w:tcBorders>
              <w:top w:val="nil"/>
              <w:left w:val="nil"/>
              <w:bottom w:val="nil"/>
              <w:right w:val="single" w:sz="4" w:space="0" w:color="auto"/>
            </w:tcBorders>
            <w:shd w:val="clear" w:color="auto" w:fill="auto"/>
            <w:noWrap/>
            <w:vAlign w:val="bottom"/>
            <w:hideMark/>
          </w:tcPr>
          <w:p w14:paraId="0486448E"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27.234,90 €</w:t>
            </w:r>
          </w:p>
        </w:tc>
        <w:tc>
          <w:tcPr>
            <w:tcW w:w="1360" w:type="dxa"/>
            <w:tcBorders>
              <w:top w:val="nil"/>
              <w:left w:val="nil"/>
              <w:bottom w:val="nil"/>
              <w:right w:val="single" w:sz="4" w:space="0" w:color="auto"/>
            </w:tcBorders>
            <w:shd w:val="clear" w:color="auto" w:fill="auto"/>
            <w:noWrap/>
            <w:vAlign w:val="bottom"/>
            <w:hideMark/>
          </w:tcPr>
          <w:p w14:paraId="2E00AC24"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28.220,83 €</w:t>
            </w:r>
          </w:p>
        </w:tc>
        <w:tc>
          <w:tcPr>
            <w:tcW w:w="1360" w:type="dxa"/>
            <w:tcBorders>
              <w:top w:val="nil"/>
              <w:left w:val="nil"/>
              <w:bottom w:val="nil"/>
              <w:right w:val="double" w:sz="6" w:space="0" w:color="auto"/>
            </w:tcBorders>
            <w:shd w:val="clear" w:color="auto" w:fill="auto"/>
            <w:noWrap/>
            <w:vAlign w:val="bottom"/>
            <w:hideMark/>
          </w:tcPr>
          <w:p w14:paraId="6AD8AF87"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29.749,28 €</w:t>
            </w:r>
          </w:p>
        </w:tc>
      </w:tr>
      <w:tr w:rsidR="003063E5" w:rsidRPr="008B6DFA" w14:paraId="6DC2A941" w14:textId="77777777" w:rsidTr="00150EED">
        <w:trPr>
          <w:trHeight w:val="288"/>
        </w:trPr>
        <w:tc>
          <w:tcPr>
            <w:tcW w:w="3320" w:type="dxa"/>
            <w:vMerge w:val="restart"/>
            <w:tcBorders>
              <w:top w:val="single" w:sz="8" w:space="0" w:color="auto"/>
              <w:left w:val="double" w:sz="6" w:space="0" w:color="auto"/>
              <w:bottom w:val="double" w:sz="6" w:space="0" w:color="000000"/>
              <w:right w:val="single" w:sz="4" w:space="0" w:color="auto"/>
            </w:tcBorders>
            <w:shd w:val="clear" w:color="000000" w:fill="D9D9D9"/>
            <w:hideMark/>
          </w:tcPr>
          <w:p w14:paraId="4E84EF27" w14:textId="77777777" w:rsidR="003063E5" w:rsidRPr="004F0A61" w:rsidRDefault="003063E5" w:rsidP="00150EED">
            <w:pPr>
              <w:overflowPunct/>
              <w:autoSpaceDE/>
              <w:autoSpaceDN/>
              <w:adjustRightInd/>
              <w:textAlignment w:val="auto"/>
              <w:rPr>
                <w:rFonts w:ascii="Arial" w:hAnsi="Arial" w:cs="Arial"/>
                <w:b/>
                <w:bCs/>
              </w:rPr>
            </w:pPr>
            <w:r w:rsidRPr="004F0A61">
              <w:rPr>
                <w:rFonts w:ascii="Arial" w:hAnsi="Arial" w:cs="Arial"/>
                <w:b/>
                <w:bCs/>
              </w:rPr>
              <w:t>Fehlbetrag absolut und in % der Grundsicherung</w:t>
            </w:r>
          </w:p>
        </w:tc>
        <w:tc>
          <w:tcPr>
            <w:tcW w:w="1340" w:type="dxa"/>
            <w:tcBorders>
              <w:top w:val="single" w:sz="8" w:space="0" w:color="auto"/>
              <w:left w:val="nil"/>
              <w:bottom w:val="nil"/>
              <w:right w:val="single" w:sz="4" w:space="0" w:color="auto"/>
            </w:tcBorders>
            <w:shd w:val="clear" w:color="auto" w:fill="auto"/>
            <w:noWrap/>
            <w:vAlign w:val="bottom"/>
            <w:hideMark/>
          </w:tcPr>
          <w:p w14:paraId="5CD79B1C"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-5.005,49 €</w:t>
            </w:r>
          </w:p>
        </w:tc>
        <w:tc>
          <w:tcPr>
            <w:tcW w:w="1360" w:type="dxa"/>
            <w:tcBorders>
              <w:top w:val="single" w:sz="8" w:space="0" w:color="auto"/>
              <w:left w:val="nil"/>
              <w:bottom w:val="nil"/>
              <w:right w:val="single" w:sz="4" w:space="0" w:color="auto"/>
            </w:tcBorders>
            <w:shd w:val="clear" w:color="auto" w:fill="auto"/>
            <w:noWrap/>
            <w:vAlign w:val="bottom"/>
            <w:hideMark/>
          </w:tcPr>
          <w:p w14:paraId="5666693F"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-5.081,24 €</w:t>
            </w:r>
          </w:p>
        </w:tc>
        <w:tc>
          <w:tcPr>
            <w:tcW w:w="1360" w:type="dxa"/>
            <w:tcBorders>
              <w:top w:val="single" w:sz="8" w:space="0" w:color="auto"/>
              <w:left w:val="nil"/>
              <w:bottom w:val="nil"/>
              <w:right w:val="single" w:sz="4" w:space="0" w:color="auto"/>
            </w:tcBorders>
            <w:shd w:val="clear" w:color="auto" w:fill="auto"/>
            <w:noWrap/>
            <w:vAlign w:val="bottom"/>
            <w:hideMark/>
          </w:tcPr>
          <w:p w14:paraId="31E07B31"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-4.467,25 €</w:t>
            </w:r>
          </w:p>
        </w:tc>
        <w:tc>
          <w:tcPr>
            <w:tcW w:w="1360" w:type="dxa"/>
            <w:tcBorders>
              <w:top w:val="single" w:sz="8" w:space="0" w:color="auto"/>
              <w:left w:val="nil"/>
              <w:bottom w:val="nil"/>
              <w:right w:val="single" w:sz="4" w:space="0" w:color="auto"/>
            </w:tcBorders>
            <w:shd w:val="clear" w:color="auto" w:fill="auto"/>
            <w:noWrap/>
            <w:vAlign w:val="bottom"/>
            <w:hideMark/>
          </w:tcPr>
          <w:p w14:paraId="0BE2D075"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-4.400,80 €</w:t>
            </w:r>
          </w:p>
        </w:tc>
        <w:tc>
          <w:tcPr>
            <w:tcW w:w="1360" w:type="dxa"/>
            <w:tcBorders>
              <w:top w:val="single" w:sz="8" w:space="0" w:color="auto"/>
              <w:left w:val="nil"/>
              <w:bottom w:val="nil"/>
              <w:right w:val="double" w:sz="6" w:space="0" w:color="auto"/>
            </w:tcBorders>
            <w:shd w:val="clear" w:color="auto" w:fill="auto"/>
            <w:noWrap/>
            <w:vAlign w:val="bottom"/>
            <w:hideMark/>
          </w:tcPr>
          <w:p w14:paraId="1763E130" w14:textId="77777777"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-3.356,76 €</w:t>
            </w:r>
          </w:p>
        </w:tc>
      </w:tr>
      <w:tr w:rsidR="003063E5" w:rsidRPr="008B6DFA" w14:paraId="15DEDE11" w14:textId="77777777" w:rsidTr="00150EED">
        <w:trPr>
          <w:trHeight w:val="300"/>
        </w:trPr>
        <w:tc>
          <w:tcPr>
            <w:tcW w:w="3320" w:type="dxa"/>
            <w:vMerge/>
            <w:tcBorders>
              <w:top w:val="single" w:sz="8" w:space="0" w:color="auto"/>
              <w:left w:val="double" w:sz="6" w:space="0" w:color="auto"/>
              <w:bottom w:val="double" w:sz="6" w:space="0" w:color="000000"/>
              <w:right w:val="single" w:sz="4" w:space="0" w:color="auto"/>
            </w:tcBorders>
            <w:vAlign w:val="center"/>
            <w:hideMark/>
          </w:tcPr>
          <w:p w14:paraId="5FE41301" w14:textId="77777777" w:rsidR="003063E5" w:rsidRPr="004F0A61" w:rsidRDefault="003063E5" w:rsidP="00150EED">
            <w:pPr>
              <w:overflowPunct/>
              <w:autoSpaceDE/>
              <w:autoSpaceDN/>
              <w:adjustRightInd/>
              <w:textAlignment w:val="auto"/>
              <w:rPr>
                <w:rFonts w:ascii="Arial" w:hAnsi="Arial" w:cs="Arial"/>
              </w:rPr>
            </w:pPr>
          </w:p>
        </w:tc>
        <w:tc>
          <w:tcPr>
            <w:tcW w:w="1340" w:type="dxa"/>
            <w:tcBorders>
              <w:top w:val="nil"/>
              <w:left w:val="nil"/>
              <w:bottom w:val="double" w:sz="6" w:space="0" w:color="auto"/>
              <w:right w:val="single" w:sz="4" w:space="0" w:color="auto"/>
            </w:tcBorders>
            <w:shd w:val="clear" w:color="auto" w:fill="auto"/>
            <w:noWrap/>
            <w:vAlign w:val="center"/>
            <w:hideMark/>
          </w:tcPr>
          <w:p w14:paraId="4BB9F8E3" w14:textId="605CC580"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-17</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388DE90B" w14:textId="6CBC25DF"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-16</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373216E6" w14:textId="002EEA09"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-14</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17A54F79" w14:textId="5B998A65"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-13</w:t>
            </w:r>
            <w:r w:rsidR="00B669C2">
              <w:rPr>
                <w:rFonts w:ascii="Arial" w:hAnsi="Arial" w:cs="Arial"/>
                <w:color w:val="000000"/>
              </w:rPr>
              <w:t xml:space="preserve"> %</w:t>
            </w:r>
          </w:p>
        </w:tc>
        <w:tc>
          <w:tcPr>
            <w:tcW w:w="1360" w:type="dxa"/>
            <w:tcBorders>
              <w:top w:val="nil"/>
              <w:left w:val="nil"/>
              <w:bottom w:val="double" w:sz="6" w:space="0" w:color="auto"/>
              <w:right w:val="double" w:sz="6" w:space="0" w:color="auto"/>
            </w:tcBorders>
            <w:shd w:val="clear" w:color="auto" w:fill="auto"/>
            <w:noWrap/>
            <w:vAlign w:val="center"/>
            <w:hideMark/>
          </w:tcPr>
          <w:p w14:paraId="3BE6873C" w14:textId="0122637F" w:rsidR="003063E5" w:rsidRPr="004F0A61" w:rsidRDefault="003063E5" w:rsidP="00150EED">
            <w:pPr>
              <w:overflowPunct/>
              <w:autoSpaceDE/>
              <w:autoSpaceDN/>
              <w:adjustRightInd/>
              <w:jc w:val="right"/>
              <w:textAlignment w:val="auto"/>
              <w:rPr>
                <w:rFonts w:ascii="Arial" w:hAnsi="Arial" w:cs="Arial"/>
                <w:color w:val="000000"/>
              </w:rPr>
            </w:pPr>
            <w:r w:rsidRPr="004F0A61">
              <w:rPr>
                <w:rFonts w:ascii="Arial" w:hAnsi="Arial" w:cs="Arial"/>
                <w:color w:val="000000"/>
              </w:rPr>
              <w:t>-10</w:t>
            </w:r>
            <w:r w:rsidR="00B669C2">
              <w:rPr>
                <w:rFonts w:ascii="Arial" w:hAnsi="Arial" w:cs="Arial"/>
                <w:color w:val="000000"/>
              </w:rPr>
              <w:t xml:space="preserve"> %</w:t>
            </w:r>
          </w:p>
        </w:tc>
      </w:tr>
    </w:tbl>
    <w:p w14:paraId="21FA00C7" w14:textId="77777777" w:rsidR="003063E5" w:rsidRDefault="003063E5" w:rsidP="003063E5">
      <w:pPr>
        <w:overflowPunct/>
        <w:spacing w:line="276" w:lineRule="auto"/>
        <w:textAlignment w:val="auto"/>
        <w:rPr>
          <w:rFonts w:ascii="Arial" w:eastAsia="Calibri" w:hAnsi="Arial" w:cs="Arial"/>
          <w:sz w:val="24"/>
          <w:szCs w:val="24"/>
          <w:lang w:eastAsia="en-US"/>
        </w:rPr>
      </w:pPr>
    </w:p>
    <w:p w14:paraId="0EFC9A87" w14:textId="380E4571" w:rsidR="003063E5" w:rsidRDefault="003063E5" w:rsidP="00893123">
      <w:pPr>
        <w:overflowPunct/>
        <w:spacing w:line="276" w:lineRule="auto"/>
        <w:jc w:val="both"/>
        <w:textAlignment w:val="auto"/>
        <w:rPr>
          <w:rFonts w:ascii="Arial" w:eastAsia="Calibri" w:hAnsi="Arial" w:cs="Arial"/>
          <w:sz w:val="24"/>
          <w:szCs w:val="24"/>
          <w:lang w:eastAsia="en-US"/>
        </w:rPr>
      </w:pPr>
      <w:r w:rsidRPr="007E0C36">
        <w:rPr>
          <w:rFonts w:ascii="Arial" w:eastAsia="Calibri" w:hAnsi="Arial" w:cs="Arial"/>
          <w:sz w:val="24"/>
          <w:szCs w:val="24"/>
          <w:lang w:eastAsia="en-US"/>
        </w:rPr>
        <w:t xml:space="preserve">Bei Berechnung auf der Grundlage der vom Berliner Gesetzgeber ermittelten Zahlen </w:t>
      </w:r>
      <w:r w:rsidR="00B669C2">
        <w:rPr>
          <w:rFonts w:ascii="Arial" w:eastAsia="Calibri" w:hAnsi="Arial" w:cs="Arial"/>
          <w:sz w:val="24"/>
          <w:szCs w:val="24"/>
          <w:lang w:eastAsia="en-US"/>
        </w:rPr>
        <w:t xml:space="preserve">zu den Leistungen für Bildung und Teilhabe </w:t>
      </w:r>
      <w:r w:rsidR="006B2B5B">
        <w:rPr>
          <w:rFonts w:ascii="Arial" w:eastAsia="Calibri" w:hAnsi="Arial" w:cs="Arial"/>
          <w:sz w:val="24"/>
          <w:szCs w:val="24"/>
          <w:lang w:eastAsia="en-US"/>
        </w:rPr>
        <w:t>f</w:t>
      </w:r>
      <w:r w:rsidR="00B669C2">
        <w:rPr>
          <w:rFonts w:ascii="Arial" w:eastAsia="Calibri" w:hAnsi="Arial" w:cs="Arial"/>
          <w:sz w:val="24"/>
          <w:szCs w:val="24"/>
          <w:lang w:eastAsia="en-US"/>
        </w:rPr>
        <w:t xml:space="preserve">ür Leistungsbezieher nach dem SGB II </w:t>
      </w:r>
      <w:r w:rsidRPr="007E0C36">
        <w:rPr>
          <w:rFonts w:ascii="Arial" w:eastAsia="Calibri" w:hAnsi="Arial" w:cs="Arial"/>
          <w:sz w:val="24"/>
          <w:szCs w:val="24"/>
          <w:lang w:eastAsia="en-US"/>
        </w:rPr>
        <w:t>(</w:t>
      </w:r>
      <w:r>
        <w:rPr>
          <w:rFonts w:ascii="Arial" w:eastAsia="Calibri" w:hAnsi="Arial" w:cs="Arial"/>
          <w:sz w:val="24"/>
          <w:szCs w:val="24"/>
          <w:lang w:eastAsia="en-US"/>
        </w:rPr>
        <w:t>vgl.</w:t>
      </w:r>
      <w:r w:rsidR="00B669C2">
        <w:rPr>
          <w:rFonts w:ascii="Arial" w:eastAsia="Calibri" w:hAnsi="Arial" w:cs="Arial"/>
          <w:sz w:val="24"/>
          <w:szCs w:val="24"/>
          <w:lang w:eastAsia="en-US"/>
        </w:rPr>
        <w:t xml:space="preserve"> </w:t>
      </w:r>
      <w:r w:rsidRPr="007E0C36">
        <w:rPr>
          <w:rFonts w:ascii="Arial" w:eastAsia="Calibri" w:hAnsi="Arial" w:cs="Arial"/>
          <w:sz w:val="24"/>
          <w:szCs w:val="24"/>
          <w:lang w:eastAsia="en-US"/>
        </w:rPr>
        <w:t>BerlBVAnpG 2021, Drucksache 18/3285)</w:t>
      </w:r>
      <w:r>
        <w:rPr>
          <w:rFonts w:ascii="Arial" w:eastAsia="Calibri" w:hAnsi="Arial" w:cs="Arial"/>
          <w:sz w:val="24"/>
          <w:szCs w:val="24"/>
          <w:lang w:eastAsia="en-US"/>
        </w:rPr>
        <w:t xml:space="preserve"> ist das Ergebnis noch </w:t>
      </w:r>
      <w:r w:rsidR="00B669C2">
        <w:rPr>
          <w:rFonts w:ascii="Arial" w:eastAsia="Calibri" w:hAnsi="Arial" w:cs="Arial"/>
          <w:sz w:val="24"/>
          <w:szCs w:val="24"/>
          <w:lang w:eastAsia="en-US"/>
        </w:rPr>
        <w:t>deutlicher</w:t>
      </w:r>
      <w:r w:rsidR="005C2F24">
        <w:rPr>
          <w:rFonts w:ascii="Arial" w:eastAsia="Calibri" w:hAnsi="Arial" w:cs="Arial"/>
          <w:sz w:val="24"/>
          <w:szCs w:val="24"/>
          <w:lang w:eastAsia="en-US"/>
        </w:rPr>
        <w:t>:</w:t>
      </w:r>
    </w:p>
    <w:p w14:paraId="0BC0E46B" w14:textId="77777777" w:rsidR="003063E5" w:rsidRDefault="003063E5" w:rsidP="003063E5">
      <w:pPr>
        <w:overflowPunct/>
        <w:spacing w:line="276" w:lineRule="auto"/>
        <w:textAlignment w:val="auto"/>
        <w:rPr>
          <w:rFonts w:ascii="Arial" w:eastAsia="Calibri" w:hAnsi="Arial" w:cs="Arial"/>
          <w:sz w:val="24"/>
          <w:szCs w:val="24"/>
          <w:lang w:eastAsia="en-US"/>
        </w:rPr>
      </w:pPr>
    </w:p>
    <w:tbl>
      <w:tblPr>
        <w:tblW w:w="10100" w:type="dxa"/>
        <w:tblCellMar>
          <w:left w:w="70" w:type="dxa"/>
          <w:right w:w="70" w:type="dxa"/>
        </w:tblCellMar>
        <w:tblLook w:val="04A0" w:firstRow="1" w:lastRow="0" w:firstColumn="1" w:lastColumn="0" w:noHBand="0" w:noVBand="1"/>
      </w:tblPr>
      <w:tblGrid>
        <w:gridCol w:w="3320"/>
        <w:gridCol w:w="1340"/>
        <w:gridCol w:w="1360"/>
        <w:gridCol w:w="1360"/>
        <w:gridCol w:w="1360"/>
        <w:gridCol w:w="1360"/>
      </w:tblGrid>
      <w:tr w:rsidR="003063E5" w:rsidRPr="006D732D" w14:paraId="1C910197" w14:textId="77777777" w:rsidTr="00150EED">
        <w:trPr>
          <w:trHeight w:val="312"/>
        </w:trPr>
        <w:tc>
          <w:tcPr>
            <w:tcW w:w="3320" w:type="dxa"/>
            <w:tcBorders>
              <w:top w:val="double" w:sz="6" w:space="0" w:color="auto"/>
              <w:left w:val="double" w:sz="6" w:space="0" w:color="auto"/>
              <w:bottom w:val="single" w:sz="8" w:space="0" w:color="auto"/>
              <w:right w:val="single" w:sz="4" w:space="0" w:color="auto"/>
            </w:tcBorders>
            <w:shd w:val="clear" w:color="000000" w:fill="FFFFFF"/>
            <w:noWrap/>
            <w:vAlign w:val="bottom"/>
            <w:hideMark/>
          </w:tcPr>
          <w:p w14:paraId="02079944" w14:textId="77777777" w:rsidR="003063E5" w:rsidRPr="008C3FFB" w:rsidRDefault="003063E5" w:rsidP="00150EED">
            <w:pPr>
              <w:overflowPunct/>
              <w:autoSpaceDE/>
              <w:autoSpaceDN/>
              <w:adjustRightInd/>
              <w:textAlignment w:val="auto"/>
              <w:rPr>
                <w:rFonts w:ascii="Arial" w:hAnsi="Arial" w:cs="Arial"/>
                <w:b/>
                <w:bCs/>
                <w:color w:val="000000"/>
              </w:rPr>
            </w:pPr>
            <w:r w:rsidRPr="008C3FFB">
              <w:rPr>
                <w:rFonts w:ascii="Arial" w:hAnsi="Arial" w:cs="Arial"/>
                <w:b/>
                <w:bCs/>
                <w:color w:val="000000"/>
              </w:rPr>
              <w:t> </w:t>
            </w:r>
          </w:p>
        </w:tc>
        <w:tc>
          <w:tcPr>
            <w:tcW w:w="1340" w:type="dxa"/>
            <w:tcBorders>
              <w:top w:val="double" w:sz="6" w:space="0" w:color="auto"/>
              <w:left w:val="nil"/>
              <w:bottom w:val="single" w:sz="8" w:space="0" w:color="auto"/>
              <w:right w:val="single" w:sz="4" w:space="0" w:color="auto"/>
            </w:tcBorders>
            <w:shd w:val="clear" w:color="000000" w:fill="FFFFFF"/>
            <w:noWrap/>
            <w:vAlign w:val="bottom"/>
            <w:hideMark/>
          </w:tcPr>
          <w:p w14:paraId="788F889C" w14:textId="77777777" w:rsidR="003063E5" w:rsidRPr="008C3FFB" w:rsidRDefault="003063E5" w:rsidP="00150EED">
            <w:pPr>
              <w:overflowPunct/>
              <w:autoSpaceDE/>
              <w:autoSpaceDN/>
              <w:adjustRightInd/>
              <w:jc w:val="center"/>
              <w:textAlignment w:val="auto"/>
              <w:rPr>
                <w:rFonts w:ascii="Arial" w:hAnsi="Arial" w:cs="Arial"/>
                <w:b/>
                <w:bCs/>
                <w:color w:val="000000"/>
              </w:rPr>
            </w:pPr>
            <w:r w:rsidRPr="008C3FFB">
              <w:rPr>
                <w:rFonts w:ascii="Arial" w:hAnsi="Arial" w:cs="Arial"/>
                <w:b/>
                <w:bCs/>
                <w:color w:val="000000"/>
              </w:rPr>
              <w:t>2016</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3578D0BF" w14:textId="77777777" w:rsidR="003063E5" w:rsidRPr="008C3FFB" w:rsidRDefault="003063E5" w:rsidP="00150EED">
            <w:pPr>
              <w:overflowPunct/>
              <w:autoSpaceDE/>
              <w:autoSpaceDN/>
              <w:adjustRightInd/>
              <w:jc w:val="center"/>
              <w:textAlignment w:val="auto"/>
              <w:rPr>
                <w:rFonts w:ascii="Arial" w:hAnsi="Arial" w:cs="Arial"/>
                <w:b/>
                <w:bCs/>
                <w:color w:val="000000"/>
              </w:rPr>
            </w:pPr>
            <w:r w:rsidRPr="008C3FFB">
              <w:rPr>
                <w:rFonts w:ascii="Arial" w:hAnsi="Arial" w:cs="Arial"/>
                <w:b/>
                <w:bCs/>
                <w:color w:val="000000"/>
              </w:rPr>
              <w:t>2017</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76ECF48B" w14:textId="77777777" w:rsidR="003063E5" w:rsidRPr="008C3FFB" w:rsidRDefault="003063E5" w:rsidP="00150EED">
            <w:pPr>
              <w:overflowPunct/>
              <w:autoSpaceDE/>
              <w:autoSpaceDN/>
              <w:adjustRightInd/>
              <w:jc w:val="center"/>
              <w:textAlignment w:val="auto"/>
              <w:rPr>
                <w:rFonts w:ascii="Arial" w:hAnsi="Arial" w:cs="Arial"/>
                <w:b/>
                <w:bCs/>
                <w:color w:val="000000"/>
              </w:rPr>
            </w:pPr>
            <w:r w:rsidRPr="008C3FFB">
              <w:rPr>
                <w:rFonts w:ascii="Arial" w:hAnsi="Arial" w:cs="Arial"/>
                <w:b/>
                <w:bCs/>
                <w:color w:val="000000"/>
              </w:rPr>
              <w:t>2018</w:t>
            </w:r>
          </w:p>
        </w:tc>
        <w:tc>
          <w:tcPr>
            <w:tcW w:w="1360" w:type="dxa"/>
            <w:tcBorders>
              <w:top w:val="double" w:sz="6" w:space="0" w:color="auto"/>
              <w:left w:val="nil"/>
              <w:bottom w:val="single" w:sz="8" w:space="0" w:color="auto"/>
              <w:right w:val="single" w:sz="4" w:space="0" w:color="auto"/>
            </w:tcBorders>
            <w:shd w:val="clear" w:color="000000" w:fill="FFFFFF"/>
            <w:noWrap/>
            <w:vAlign w:val="bottom"/>
            <w:hideMark/>
          </w:tcPr>
          <w:p w14:paraId="7B6E6B6F" w14:textId="77777777" w:rsidR="003063E5" w:rsidRPr="008C3FFB" w:rsidRDefault="003063E5" w:rsidP="00150EED">
            <w:pPr>
              <w:overflowPunct/>
              <w:autoSpaceDE/>
              <w:autoSpaceDN/>
              <w:adjustRightInd/>
              <w:jc w:val="center"/>
              <w:textAlignment w:val="auto"/>
              <w:rPr>
                <w:rFonts w:ascii="Arial" w:hAnsi="Arial" w:cs="Arial"/>
                <w:b/>
                <w:bCs/>
                <w:color w:val="000000"/>
              </w:rPr>
            </w:pPr>
            <w:r w:rsidRPr="008C3FFB">
              <w:rPr>
                <w:rFonts w:ascii="Arial" w:hAnsi="Arial" w:cs="Arial"/>
                <w:b/>
                <w:bCs/>
                <w:color w:val="000000"/>
              </w:rPr>
              <w:t>2019</w:t>
            </w:r>
          </w:p>
        </w:tc>
        <w:tc>
          <w:tcPr>
            <w:tcW w:w="1360" w:type="dxa"/>
            <w:tcBorders>
              <w:top w:val="double" w:sz="6" w:space="0" w:color="auto"/>
              <w:left w:val="nil"/>
              <w:bottom w:val="single" w:sz="8" w:space="0" w:color="auto"/>
              <w:right w:val="double" w:sz="6" w:space="0" w:color="auto"/>
            </w:tcBorders>
            <w:shd w:val="clear" w:color="000000" w:fill="FFFFFF"/>
            <w:noWrap/>
            <w:vAlign w:val="bottom"/>
            <w:hideMark/>
          </w:tcPr>
          <w:p w14:paraId="561C73BD" w14:textId="77777777" w:rsidR="003063E5" w:rsidRPr="008C3FFB" w:rsidRDefault="003063E5" w:rsidP="00150EED">
            <w:pPr>
              <w:overflowPunct/>
              <w:autoSpaceDE/>
              <w:autoSpaceDN/>
              <w:adjustRightInd/>
              <w:jc w:val="center"/>
              <w:textAlignment w:val="auto"/>
              <w:rPr>
                <w:rFonts w:ascii="Arial" w:hAnsi="Arial" w:cs="Arial"/>
                <w:b/>
                <w:bCs/>
                <w:color w:val="000000"/>
              </w:rPr>
            </w:pPr>
            <w:r w:rsidRPr="008C3FFB">
              <w:rPr>
                <w:rFonts w:ascii="Arial" w:hAnsi="Arial" w:cs="Arial"/>
                <w:b/>
                <w:bCs/>
                <w:color w:val="000000"/>
              </w:rPr>
              <w:t>2020</w:t>
            </w:r>
          </w:p>
        </w:tc>
      </w:tr>
      <w:tr w:rsidR="003063E5" w:rsidRPr="006D732D" w14:paraId="444C22FA" w14:textId="77777777" w:rsidTr="00150EED">
        <w:trPr>
          <w:trHeight w:val="288"/>
        </w:trPr>
        <w:tc>
          <w:tcPr>
            <w:tcW w:w="3320" w:type="dxa"/>
            <w:tcBorders>
              <w:top w:val="nil"/>
              <w:left w:val="double" w:sz="6" w:space="0" w:color="auto"/>
              <w:bottom w:val="nil"/>
              <w:right w:val="single" w:sz="4" w:space="0" w:color="auto"/>
            </w:tcBorders>
            <w:shd w:val="clear" w:color="000000" w:fill="D9D9D9"/>
            <w:noWrap/>
            <w:vAlign w:val="bottom"/>
            <w:hideMark/>
          </w:tcPr>
          <w:p w14:paraId="01F6AEDD" w14:textId="77777777" w:rsidR="003063E5" w:rsidRPr="008C3FFB" w:rsidRDefault="003063E5" w:rsidP="00150EED">
            <w:pPr>
              <w:overflowPunct/>
              <w:autoSpaceDE/>
              <w:autoSpaceDN/>
              <w:adjustRightInd/>
              <w:textAlignment w:val="auto"/>
              <w:rPr>
                <w:rFonts w:ascii="Arial" w:hAnsi="Arial" w:cs="Arial"/>
                <w:b/>
                <w:bCs/>
              </w:rPr>
            </w:pPr>
            <w:r w:rsidRPr="008C3FFB">
              <w:rPr>
                <w:rFonts w:ascii="Arial" w:hAnsi="Arial" w:cs="Arial"/>
                <w:b/>
                <w:bCs/>
              </w:rPr>
              <w:t>Grundsicherungsbedarf /Jahr</w:t>
            </w:r>
          </w:p>
        </w:tc>
        <w:tc>
          <w:tcPr>
            <w:tcW w:w="1340" w:type="dxa"/>
            <w:tcBorders>
              <w:top w:val="nil"/>
              <w:left w:val="nil"/>
              <w:bottom w:val="nil"/>
              <w:right w:val="single" w:sz="4" w:space="0" w:color="auto"/>
            </w:tcBorders>
            <w:shd w:val="clear" w:color="auto" w:fill="auto"/>
            <w:noWrap/>
            <w:vAlign w:val="bottom"/>
            <w:hideMark/>
          </w:tcPr>
          <w:p w14:paraId="6F9EFFD1"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30.939,36 €</w:t>
            </w:r>
          </w:p>
        </w:tc>
        <w:tc>
          <w:tcPr>
            <w:tcW w:w="1360" w:type="dxa"/>
            <w:tcBorders>
              <w:top w:val="nil"/>
              <w:left w:val="nil"/>
              <w:bottom w:val="nil"/>
              <w:right w:val="single" w:sz="4" w:space="0" w:color="auto"/>
            </w:tcBorders>
            <w:shd w:val="clear" w:color="auto" w:fill="auto"/>
            <w:noWrap/>
            <w:vAlign w:val="bottom"/>
            <w:hideMark/>
          </w:tcPr>
          <w:p w14:paraId="41C8E339"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31.903,29 €</w:t>
            </w:r>
          </w:p>
        </w:tc>
        <w:tc>
          <w:tcPr>
            <w:tcW w:w="1360" w:type="dxa"/>
            <w:tcBorders>
              <w:top w:val="nil"/>
              <w:left w:val="nil"/>
              <w:bottom w:val="nil"/>
              <w:right w:val="single" w:sz="4" w:space="0" w:color="auto"/>
            </w:tcBorders>
            <w:shd w:val="clear" w:color="auto" w:fill="auto"/>
            <w:noWrap/>
            <w:vAlign w:val="bottom"/>
            <w:hideMark/>
          </w:tcPr>
          <w:p w14:paraId="52C1DAA5"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32.768,95 €</w:t>
            </w:r>
          </w:p>
        </w:tc>
        <w:tc>
          <w:tcPr>
            <w:tcW w:w="1360" w:type="dxa"/>
            <w:tcBorders>
              <w:top w:val="nil"/>
              <w:left w:val="nil"/>
              <w:bottom w:val="nil"/>
              <w:right w:val="single" w:sz="4" w:space="0" w:color="auto"/>
            </w:tcBorders>
            <w:shd w:val="clear" w:color="auto" w:fill="auto"/>
            <w:noWrap/>
            <w:vAlign w:val="bottom"/>
            <w:hideMark/>
          </w:tcPr>
          <w:p w14:paraId="71EDDD15"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33.698,39 €</w:t>
            </w:r>
          </w:p>
        </w:tc>
        <w:tc>
          <w:tcPr>
            <w:tcW w:w="1360" w:type="dxa"/>
            <w:tcBorders>
              <w:top w:val="nil"/>
              <w:left w:val="nil"/>
              <w:bottom w:val="nil"/>
              <w:right w:val="double" w:sz="6" w:space="0" w:color="auto"/>
            </w:tcBorders>
            <w:shd w:val="clear" w:color="auto" w:fill="auto"/>
            <w:noWrap/>
            <w:vAlign w:val="bottom"/>
            <w:hideMark/>
          </w:tcPr>
          <w:p w14:paraId="4D47531B"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34.211,12 €</w:t>
            </w:r>
          </w:p>
        </w:tc>
      </w:tr>
      <w:tr w:rsidR="003063E5" w:rsidRPr="006D732D" w14:paraId="3553BC2F" w14:textId="77777777" w:rsidTr="00150EED">
        <w:trPr>
          <w:trHeight w:val="300"/>
        </w:trPr>
        <w:tc>
          <w:tcPr>
            <w:tcW w:w="3320" w:type="dxa"/>
            <w:tcBorders>
              <w:top w:val="nil"/>
              <w:left w:val="double" w:sz="6" w:space="0" w:color="auto"/>
              <w:bottom w:val="nil"/>
              <w:right w:val="single" w:sz="4" w:space="0" w:color="auto"/>
            </w:tcBorders>
            <w:shd w:val="clear" w:color="000000" w:fill="D9D9D9"/>
            <w:noWrap/>
            <w:vAlign w:val="bottom"/>
            <w:hideMark/>
          </w:tcPr>
          <w:p w14:paraId="37E6A770" w14:textId="77777777" w:rsidR="003063E5" w:rsidRPr="008C3FFB" w:rsidRDefault="003063E5" w:rsidP="00150EED">
            <w:pPr>
              <w:overflowPunct/>
              <w:autoSpaceDE/>
              <w:autoSpaceDN/>
              <w:adjustRightInd/>
              <w:textAlignment w:val="auto"/>
              <w:rPr>
                <w:rFonts w:ascii="Arial" w:hAnsi="Arial" w:cs="Arial"/>
                <w:b/>
                <w:bCs/>
              </w:rPr>
            </w:pPr>
            <w:r w:rsidRPr="008C3FFB">
              <w:rPr>
                <w:rFonts w:ascii="Arial" w:hAnsi="Arial" w:cs="Arial"/>
                <w:b/>
                <w:bCs/>
              </w:rPr>
              <w:t>Nettoalimentation A4 /Jahr</w:t>
            </w:r>
          </w:p>
        </w:tc>
        <w:tc>
          <w:tcPr>
            <w:tcW w:w="1340" w:type="dxa"/>
            <w:tcBorders>
              <w:top w:val="nil"/>
              <w:left w:val="nil"/>
              <w:bottom w:val="nil"/>
              <w:right w:val="single" w:sz="4" w:space="0" w:color="auto"/>
            </w:tcBorders>
            <w:shd w:val="clear" w:color="auto" w:fill="auto"/>
            <w:noWrap/>
            <w:vAlign w:val="bottom"/>
            <w:hideMark/>
          </w:tcPr>
          <w:p w14:paraId="26B24CA1"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24.987,07 €</w:t>
            </w:r>
          </w:p>
        </w:tc>
        <w:tc>
          <w:tcPr>
            <w:tcW w:w="1360" w:type="dxa"/>
            <w:tcBorders>
              <w:top w:val="nil"/>
              <w:left w:val="nil"/>
              <w:bottom w:val="nil"/>
              <w:right w:val="single" w:sz="4" w:space="0" w:color="auto"/>
            </w:tcBorders>
            <w:shd w:val="clear" w:color="auto" w:fill="auto"/>
            <w:noWrap/>
            <w:vAlign w:val="bottom"/>
            <w:hideMark/>
          </w:tcPr>
          <w:p w14:paraId="21328745"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25.815,25 €</w:t>
            </w:r>
          </w:p>
        </w:tc>
        <w:tc>
          <w:tcPr>
            <w:tcW w:w="1360" w:type="dxa"/>
            <w:tcBorders>
              <w:top w:val="nil"/>
              <w:left w:val="nil"/>
              <w:bottom w:val="nil"/>
              <w:right w:val="single" w:sz="4" w:space="0" w:color="auto"/>
            </w:tcBorders>
            <w:shd w:val="clear" w:color="auto" w:fill="auto"/>
            <w:noWrap/>
            <w:vAlign w:val="bottom"/>
            <w:hideMark/>
          </w:tcPr>
          <w:p w14:paraId="2A7C202F"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27.234,90 €</w:t>
            </w:r>
          </w:p>
        </w:tc>
        <w:tc>
          <w:tcPr>
            <w:tcW w:w="1360" w:type="dxa"/>
            <w:tcBorders>
              <w:top w:val="nil"/>
              <w:left w:val="nil"/>
              <w:bottom w:val="nil"/>
              <w:right w:val="single" w:sz="4" w:space="0" w:color="auto"/>
            </w:tcBorders>
            <w:shd w:val="clear" w:color="auto" w:fill="auto"/>
            <w:noWrap/>
            <w:vAlign w:val="bottom"/>
            <w:hideMark/>
          </w:tcPr>
          <w:p w14:paraId="76EB74CD"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28.220,83 €</w:t>
            </w:r>
          </w:p>
        </w:tc>
        <w:tc>
          <w:tcPr>
            <w:tcW w:w="1360" w:type="dxa"/>
            <w:tcBorders>
              <w:top w:val="nil"/>
              <w:left w:val="nil"/>
              <w:bottom w:val="nil"/>
              <w:right w:val="double" w:sz="6" w:space="0" w:color="auto"/>
            </w:tcBorders>
            <w:shd w:val="clear" w:color="auto" w:fill="auto"/>
            <w:noWrap/>
            <w:vAlign w:val="bottom"/>
            <w:hideMark/>
          </w:tcPr>
          <w:p w14:paraId="41ECD27C"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29.749,28 €</w:t>
            </w:r>
          </w:p>
        </w:tc>
      </w:tr>
      <w:tr w:rsidR="003063E5" w:rsidRPr="006D732D" w14:paraId="430E1DB8" w14:textId="77777777" w:rsidTr="00150EED">
        <w:trPr>
          <w:trHeight w:val="288"/>
        </w:trPr>
        <w:tc>
          <w:tcPr>
            <w:tcW w:w="3320" w:type="dxa"/>
            <w:vMerge w:val="restart"/>
            <w:tcBorders>
              <w:top w:val="single" w:sz="8" w:space="0" w:color="auto"/>
              <w:left w:val="double" w:sz="6" w:space="0" w:color="auto"/>
              <w:bottom w:val="double" w:sz="6" w:space="0" w:color="000000"/>
              <w:right w:val="single" w:sz="4" w:space="0" w:color="auto"/>
            </w:tcBorders>
            <w:shd w:val="clear" w:color="000000" w:fill="D9D9D9"/>
            <w:hideMark/>
          </w:tcPr>
          <w:p w14:paraId="68672872" w14:textId="77777777" w:rsidR="003063E5" w:rsidRPr="008C3FFB" w:rsidRDefault="003063E5" w:rsidP="00150EED">
            <w:pPr>
              <w:overflowPunct/>
              <w:autoSpaceDE/>
              <w:autoSpaceDN/>
              <w:adjustRightInd/>
              <w:textAlignment w:val="auto"/>
              <w:rPr>
                <w:rFonts w:ascii="Arial" w:hAnsi="Arial" w:cs="Arial"/>
                <w:b/>
                <w:bCs/>
              </w:rPr>
            </w:pPr>
            <w:r w:rsidRPr="008C3FFB">
              <w:rPr>
                <w:rFonts w:ascii="Arial" w:hAnsi="Arial" w:cs="Arial"/>
                <w:b/>
                <w:bCs/>
              </w:rPr>
              <w:t>Fehlbetrag absolut und in % der Grundsicherung</w:t>
            </w:r>
          </w:p>
        </w:tc>
        <w:tc>
          <w:tcPr>
            <w:tcW w:w="1340" w:type="dxa"/>
            <w:tcBorders>
              <w:top w:val="single" w:sz="8" w:space="0" w:color="auto"/>
              <w:left w:val="nil"/>
              <w:bottom w:val="nil"/>
              <w:right w:val="single" w:sz="4" w:space="0" w:color="auto"/>
            </w:tcBorders>
            <w:shd w:val="clear" w:color="auto" w:fill="auto"/>
            <w:noWrap/>
            <w:vAlign w:val="bottom"/>
            <w:hideMark/>
          </w:tcPr>
          <w:p w14:paraId="5887814B"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-5.952,29 €</w:t>
            </w:r>
          </w:p>
        </w:tc>
        <w:tc>
          <w:tcPr>
            <w:tcW w:w="1360" w:type="dxa"/>
            <w:tcBorders>
              <w:top w:val="single" w:sz="8" w:space="0" w:color="auto"/>
              <w:left w:val="nil"/>
              <w:bottom w:val="nil"/>
              <w:right w:val="single" w:sz="4" w:space="0" w:color="auto"/>
            </w:tcBorders>
            <w:shd w:val="clear" w:color="auto" w:fill="auto"/>
            <w:noWrap/>
            <w:vAlign w:val="bottom"/>
            <w:hideMark/>
          </w:tcPr>
          <w:p w14:paraId="6177F8F4"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-6.088,04 €</w:t>
            </w:r>
          </w:p>
        </w:tc>
        <w:tc>
          <w:tcPr>
            <w:tcW w:w="1360" w:type="dxa"/>
            <w:tcBorders>
              <w:top w:val="single" w:sz="8" w:space="0" w:color="auto"/>
              <w:left w:val="nil"/>
              <w:bottom w:val="nil"/>
              <w:right w:val="single" w:sz="4" w:space="0" w:color="auto"/>
            </w:tcBorders>
            <w:shd w:val="clear" w:color="auto" w:fill="auto"/>
            <w:noWrap/>
            <w:vAlign w:val="bottom"/>
            <w:hideMark/>
          </w:tcPr>
          <w:p w14:paraId="52969942"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-5.534,05 €</w:t>
            </w:r>
          </w:p>
        </w:tc>
        <w:tc>
          <w:tcPr>
            <w:tcW w:w="1360" w:type="dxa"/>
            <w:tcBorders>
              <w:top w:val="single" w:sz="8" w:space="0" w:color="auto"/>
              <w:left w:val="nil"/>
              <w:bottom w:val="nil"/>
              <w:right w:val="single" w:sz="4" w:space="0" w:color="auto"/>
            </w:tcBorders>
            <w:shd w:val="clear" w:color="auto" w:fill="auto"/>
            <w:noWrap/>
            <w:vAlign w:val="bottom"/>
            <w:hideMark/>
          </w:tcPr>
          <w:p w14:paraId="7682530A"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-5.477,56 €</w:t>
            </w:r>
          </w:p>
        </w:tc>
        <w:tc>
          <w:tcPr>
            <w:tcW w:w="1360" w:type="dxa"/>
            <w:tcBorders>
              <w:top w:val="single" w:sz="8" w:space="0" w:color="auto"/>
              <w:left w:val="nil"/>
              <w:bottom w:val="nil"/>
              <w:right w:val="double" w:sz="6" w:space="0" w:color="auto"/>
            </w:tcBorders>
            <w:shd w:val="clear" w:color="auto" w:fill="auto"/>
            <w:noWrap/>
            <w:vAlign w:val="bottom"/>
            <w:hideMark/>
          </w:tcPr>
          <w:p w14:paraId="00B88D37" w14:textId="7777777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-4.461,84 €</w:t>
            </w:r>
          </w:p>
        </w:tc>
      </w:tr>
      <w:tr w:rsidR="003063E5" w:rsidRPr="006D732D" w14:paraId="20DB640F" w14:textId="77777777" w:rsidTr="00150EED">
        <w:trPr>
          <w:trHeight w:val="300"/>
        </w:trPr>
        <w:tc>
          <w:tcPr>
            <w:tcW w:w="3320" w:type="dxa"/>
            <w:vMerge/>
            <w:tcBorders>
              <w:top w:val="single" w:sz="8" w:space="0" w:color="auto"/>
              <w:left w:val="double" w:sz="6" w:space="0" w:color="auto"/>
              <w:bottom w:val="double" w:sz="6" w:space="0" w:color="000000"/>
              <w:right w:val="single" w:sz="4" w:space="0" w:color="auto"/>
            </w:tcBorders>
            <w:vAlign w:val="center"/>
            <w:hideMark/>
          </w:tcPr>
          <w:p w14:paraId="0F96F22A" w14:textId="77777777" w:rsidR="003063E5" w:rsidRPr="008C3FFB" w:rsidRDefault="003063E5" w:rsidP="00150EED">
            <w:pPr>
              <w:overflowPunct/>
              <w:autoSpaceDE/>
              <w:autoSpaceDN/>
              <w:adjustRightInd/>
              <w:textAlignment w:val="auto"/>
              <w:rPr>
                <w:rFonts w:ascii="Arial" w:hAnsi="Arial" w:cs="Arial"/>
              </w:rPr>
            </w:pPr>
          </w:p>
        </w:tc>
        <w:tc>
          <w:tcPr>
            <w:tcW w:w="1340" w:type="dxa"/>
            <w:tcBorders>
              <w:top w:val="nil"/>
              <w:left w:val="nil"/>
              <w:bottom w:val="double" w:sz="6" w:space="0" w:color="auto"/>
              <w:right w:val="single" w:sz="4" w:space="0" w:color="auto"/>
            </w:tcBorders>
            <w:shd w:val="clear" w:color="auto" w:fill="auto"/>
            <w:noWrap/>
            <w:vAlign w:val="center"/>
            <w:hideMark/>
          </w:tcPr>
          <w:p w14:paraId="2CD4FDCA" w14:textId="5FD9A31D"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-19</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021901A2" w14:textId="6DBEBEE4"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-19</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14604FC3" w14:textId="3668ACE3"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-17</w:t>
            </w:r>
            <w:r w:rsidR="00B669C2">
              <w:rPr>
                <w:rFonts w:ascii="Arial" w:hAnsi="Arial" w:cs="Arial"/>
                <w:color w:val="000000"/>
              </w:rPr>
              <w:t xml:space="preserve"> %</w:t>
            </w:r>
          </w:p>
        </w:tc>
        <w:tc>
          <w:tcPr>
            <w:tcW w:w="1360" w:type="dxa"/>
            <w:tcBorders>
              <w:top w:val="nil"/>
              <w:left w:val="nil"/>
              <w:bottom w:val="double" w:sz="6" w:space="0" w:color="auto"/>
              <w:right w:val="single" w:sz="4" w:space="0" w:color="auto"/>
            </w:tcBorders>
            <w:shd w:val="clear" w:color="auto" w:fill="auto"/>
            <w:noWrap/>
            <w:vAlign w:val="center"/>
            <w:hideMark/>
          </w:tcPr>
          <w:p w14:paraId="4DE0B040" w14:textId="433C8F82"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-16</w:t>
            </w:r>
            <w:r w:rsidR="00B669C2">
              <w:rPr>
                <w:rFonts w:ascii="Arial" w:hAnsi="Arial" w:cs="Arial"/>
                <w:color w:val="000000"/>
              </w:rPr>
              <w:t xml:space="preserve"> %</w:t>
            </w:r>
          </w:p>
        </w:tc>
        <w:tc>
          <w:tcPr>
            <w:tcW w:w="1360" w:type="dxa"/>
            <w:tcBorders>
              <w:top w:val="nil"/>
              <w:left w:val="nil"/>
              <w:bottom w:val="double" w:sz="6" w:space="0" w:color="auto"/>
              <w:right w:val="double" w:sz="6" w:space="0" w:color="auto"/>
            </w:tcBorders>
            <w:shd w:val="clear" w:color="auto" w:fill="auto"/>
            <w:noWrap/>
            <w:vAlign w:val="center"/>
            <w:hideMark/>
          </w:tcPr>
          <w:p w14:paraId="3FD671E0" w14:textId="32262D37" w:rsidR="003063E5" w:rsidRPr="008C3FFB" w:rsidRDefault="003063E5" w:rsidP="00150EED">
            <w:pPr>
              <w:overflowPunct/>
              <w:autoSpaceDE/>
              <w:autoSpaceDN/>
              <w:adjustRightInd/>
              <w:jc w:val="right"/>
              <w:textAlignment w:val="auto"/>
              <w:rPr>
                <w:rFonts w:ascii="Arial" w:hAnsi="Arial" w:cs="Arial"/>
                <w:color w:val="000000"/>
              </w:rPr>
            </w:pPr>
            <w:r w:rsidRPr="008C3FFB">
              <w:rPr>
                <w:rFonts w:ascii="Arial" w:hAnsi="Arial" w:cs="Arial"/>
                <w:color w:val="000000"/>
              </w:rPr>
              <w:t>-13</w:t>
            </w:r>
            <w:r w:rsidR="00B669C2">
              <w:rPr>
                <w:rFonts w:ascii="Arial" w:hAnsi="Arial" w:cs="Arial"/>
                <w:color w:val="000000"/>
              </w:rPr>
              <w:t xml:space="preserve"> %</w:t>
            </w:r>
          </w:p>
        </w:tc>
      </w:tr>
    </w:tbl>
    <w:p w14:paraId="1B9A6A72" w14:textId="77777777" w:rsidR="003063E5" w:rsidRDefault="003063E5" w:rsidP="003063E5">
      <w:pPr>
        <w:overflowPunct/>
        <w:spacing w:line="276" w:lineRule="auto"/>
        <w:textAlignment w:val="auto"/>
        <w:rPr>
          <w:rFonts w:ascii="Arial" w:eastAsia="Calibri" w:hAnsi="Arial" w:cs="Arial"/>
          <w:sz w:val="24"/>
          <w:szCs w:val="24"/>
          <w:lang w:eastAsia="en-US"/>
        </w:rPr>
      </w:pPr>
    </w:p>
    <w:p w14:paraId="23AA6372" w14:textId="586BC768" w:rsidR="006B2454" w:rsidRPr="001D5CF1" w:rsidRDefault="006B2454" w:rsidP="002B00E1">
      <w:pPr>
        <w:spacing w:line="276" w:lineRule="auto"/>
        <w:rPr>
          <w:rFonts w:ascii="Arial" w:eastAsia="Calibri" w:hAnsi="Arial" w:cs="Arial"/>
          <w:sz w:val="24"/>
          <w:szCs w:val="24"/>
          <w:lang w:eastAsia="en-US"/>
        </w:rPr>
      </w:pPr>
      <w:r w:rsidRPr="001D5CF1">
        <w:rPr>
          <w:rFonts w:ascii="Arial" w:eastAsia="Calibri" w:hAnsi="Arial" w:cs="Arial"/>
          <w:sz w:val="24"/>
          <w:szCs w:val="24"/>
          <w:lang w:eastAsia="en-US"/>
        </w:rPr>
        <w:t xml:space="preserve">Das gesamte Besoldungsgefüge des Landes Berlin hat hierdurch ein gegen das Grundgesetz verstoßendes geringes Niveau erreicht. </w:t>
      </w:r>
    </w:p>
    <w:p w14:paraId="3D00D395" w14:textId="77777777" w:rsidR="007265A7" w:rsidRPr="001D5CF1" w:rsidRDefault="007265A7" w:rsidP="006B2454">
      <w:pPr>
        <w:rPr>
          <w:rFonts w:ascii="Arial" w:eastAsia="Calibri" w:hAnsi="Arial" w:cs="Arial"/>
          <w:sz w:val="24"/>
          <w:szCs w:val="24"/>
          <w:lang w:eastAsia="en-US"/>
        </w:rPr>
      </w:pPr>
    </w:p>
    <w:p w14:paraId="21E758CB" w14:textId="3BE3356D" w:rsidR="007265A7" w:rsidRPr="001D5CF1" w:rsidRDefault="00E93C23" w:rsidP="002B00E1">
      <w:pPr>
        <w:spacing w:line="276" w:lineRule="auto"/>
        <w:jc w:val="both"/>
        <w:rPr>
          <w:rFonts w:ascii="Arial" w:eastAsia="Calibri" w:hAnsi="Arial" w:cs="Arial"/>
          <w:sz w:val="24"/>
          <w:szCs w:val="24"/>
          <w:lang w:eastAsia="en-US"/>
        </w:rPr>
      </w:pPr>
      <w:r w:rsidRPr="001D5CF1">
        <w:rPr>
          <w:rFonts w:ascii="Arial" w:eastAsia="Calibri" w:hAnsi="Arial" w:cs="Arial"/>
          <w:sz w:val="24"/>
          <w:szCs w:val="24"/>
          <w:lang w:eastAsia="en-US"/>
        </w:rPr>
        <w:t>Der oben dargestellte lange Zeitraum und die</w:t>
      </w:r>
      <w:r w:rsidR="008F3552" w:rsidRPr="001D5CF1">
        <w:rPr>
          <w:rFonts w:ascii="Arial" w:eastAsia="Calibri" w:hAnsi="Arial" w:cs="Arial"/>
          <w:sz w:val="24"/>
          <w:szCs w:val="24"/>
          <w:lang w:eastAsia="en-US"/>
        </w:rPr>
        <w:t xml:space="preserve"> </w:t>
      </w:r>
      <w:r w:rsidR="009C0D77" w:rsidRPr="001D5CF1">
        <w:rPr>
          <w:rFonts w:ascii="Arial" w:eastAsia="Calibri" w:hAnsi="Arial" w:cs="Arial"/>
          <w:sz w:val="24"/>
          <w:szCs w:val="24"/>
          <w:lang w:eastAsia="en-US"/>
        </w:rPr>
        <w:t xml:space="preserve">gleichbleibende </w:t>
      </w:r>
      <w:r w:rsidR="008F3552" w:rsidRPr="001D5CF1">
        <w:rPr>
          <w:rFonts w:ascii="Arial" w:eastAsia="Calibri" w:hAnsi="Arial" w:cs="Arial"/>
          <w:sz w:val="24"/>
          <w:szCs w:val="24"/>
          <w:lang w:eastAsia="en-US"/>
        </w:rPr>
        <w:t xml:space="preserve">Schwere der Verletzung des </w:t>
      </w:r>
      <w:r w:rsidR="00AA361B" w:rsidRPr="001D5CF1">
        <w:rPr>
          <w:rFonts w:ascii="Arial" w:eastAsia="Calibri" w:hAnsi="Arial" w:cs="Arial"/>
          <w:sz w:val="24"/>
          <w:szCs w:val="24"/>
          <w:lang w:eastAsia="en-US"/>
        </w:rPr>
        <w:t>vierte</w:t>
      </w:r>
      <w:r w:rsidR="004E6911" w:rsidRPr="001D5CF1">
        <w:rPr>
          <w:rFonts w:ascii="Arial" w:eastAsia="Calibri" w:hAnsi="Arial" w:cs="Arial"/>
          <w:sz w:val="24"/>
          <w:szCs w:val="24"/>
          <w:lang w:eastAsia="en-US"/>
        </w:rPr>
        <w:t>n</w:t>
      </w:r>
      <w:r w:rsidR="008F3552" w:rsidRPr="001D5CF1">
        <w:rPr>
          <w:rFonts w:ascii="Arial" w:eastAsia="Calibri" w:hAnsi="Arial" w:cs="Arial"/>
          <w:sz w:val="24"/>
          <w:szCs w:val="24"/>
          <w:lang w:eastAsia="en-US"/>
        </w:rPr>
        <w:t xml:space="preserve"> Parameters lassen darauf schließen, </w:t>
      </w:r>
      <w:r w:rsidR="004A31F3" w:rsidRPr="001D5CF1">
        <w:rPr>
          <w:rFonts w:ascii="Arial" w:eastAsia="Calibri" w:hAnsi="Arial" w:cs="Arial"/>
          <w:sz w:val="24"/>
          <w:szCs w:val="24"/>
          <w:lang w:eastAsia="en-US"/>
        </w:rPr>
        <w:t xml:space="preserve">dass die Unterschreitung der Mindestalimentation schon lange vor dem Jahr 2009 eingesetzt hat. </w:t>
      </w:r>
      <w:r w:rsidR="00AA361B" w:rsidRPr="001D5CF1">
        <w:rPr>
          <w:rFonts w:ascii="Arial" w:eastAsia="Calibri" w:hAnsi="Arial" w:cs="Arial"/>
          <w:sz w:val="24"/>
          <w:szCs w:val="24"/>
          <w:lang w:eastAsia="en-US"/>
        </w:rPr>
        <w:t>Hierdu</w:t>
      </w:r>
      <w:r w:rsidR="004E6911" w:rsidRPr="001D5CF1">
        <w:rPr>
          <w:rFonts w:ascii="Arial" w:eastAsia="Calibri" w:hAnsi="Arial" w:cs="Arial"/>
          <w:sz w:val="24"/>
          <w:szCs w:val="24"/>
          <w:lang w:eastAsia="en-US"/>
        </w:rPr>
        <w:t>r</w:t>
      </w:r>
      <w:r w:rsidR="00AA361B" w:rsidRPr="001D5CF1">
        <w:rPr>
          <w:rFonts w:ascii="Arial" w:eastAsia="Calibri" w:hAnsi="Arial" w:cs="Arial"/>
          <w:sz w:val="24"/>
          <w:szCs w:val="24"/>
          <w:lang w:eastAsia="en-US"/>
        </w:rPr>
        <w:t>ch gewinnt der vierte Parameter</w:t>
      </w:r>
      <w:r w:rsidR="004E6911" w:rsidRPr="001D5CF1">
        <w:rPr>
          <w:rFonts w:ascii="Arial" w:eastAsia="Calibri" w:hAnsi="Arial" w:cs="Arial"/>
          <w:sz w:val="24"/>
          <w:szCs w:val="24"/>
          <w:lang w:eastAsia="en-US"/>
        </w:rPr>
        <w:t xml:space="preserve"> stark an Gewicht. </w:t>
      </w:r>
      <w:r w:rsidR="00C00D67" w:rsidRPr="001D5CF1">
        <w:rPr>
          <w:rFonts w:ascii="Arial" w:eastAsia="Calibri" w:hAnsi="Arial" w:cs="Arial"/>
          <w:sz w:val="24"/>
          <w:szCs w:val="24"/>
          <w:lang w:eastAsia="en-US"/>
        </w:rPr>
        <w:t xml:space="preserve">Die Parameter eins bis drei </w:t>
      </w:r>
      <w:r w:rsidR="00E33BC5" w:rsidRPr="001D5CF1">
        <w:rPr>
          <w:rFonts w:ascii="Arial" w:eastAsia="Calibri" w:hAnsi="Arial" w:cs="Arial"/>
          <w:sz w:val="24"/>
          <w:szCs w:val="24"/>
          <w:lang w:eastAsia="en-US"/>
        </w:rPr>
        <w:t>bilden nur die relativen Veränderungen zu den Vergleich</w:t>
      </w:r>
      <w:r w:rsidR="00DA2053" w:rsidRPr="001D5CF1">
        <w:rPr>
          <w:rFonts w:ascii="Arial" w:eastAsia="Calibri" w:hAnsi="Arial" w:cs="Arial"/>
          <w:sz w:val="24"/>
          <w:szCs w:val="24"/>
          <w:lang w:eastAsia="en-US"/>
        </w:rPr>
        <w:t>s</w:t>
      </w:r>
      <w:r w:rsidR="00E33BC5" w:rsidRPr="001D5CF1">
        <w:rPr>
          <w:rFonts w:ascii="Arial" w:eastAsia="Calibri" w:hAnsi="Arial" w:cs="Arial"/>
          <w:sz w:val="24"/>
          <w:szCs w:val="24"/>
          <w:lang w:eastAsia="en-US"/>
        </w:rPr>
        <w:t>param</w:t>
      </w:r>
      <w:r w:rsidR="00E004BB" w:rsidRPr="001D5CF1">
        <w:rPr>
          <w:rFonts w:ascii="Arial" w:eastAsia="Calibri" w:hAnsi="Arial" w:cs="Arial"/>
          <w:sz w:val="24"/>
          <w:szCs w:val="24"/>
          <w:lang w:eastAsia="en-US"/>
        </w:rPr>
        <w:t>e</w:t>
      </w:r>
      <w:r w:rsidR="00E33BC5" w:rsidRPr="001D5CF1">
        <w:rPr>
          <w:rFonts w:ascii="Arial" w:eastAsia="Calibri" w:hAnsi="Arial" w:cs="Arial"/>
          <w:sz w:val="24"/>
          <w:szCs w:val="24"/>
          <w:lang w:eastAsia="en-US"/>
        </w:rPr>
        <w:t xml:space="preserve">tern </w:t>
      </w:r>
      <w:r w:rsidR="0039195B" w:rsidRPr="001D5CF1">
        <w:rPr>
          <w:rFonts w:ascii="Arial" w:eastAsia="Calibri" w:hAnsi="Arial" w:cs="Arial"/>
          <w:sz w:val="24"/>
          <w:szCs w:val="24"/>
          <w:lang w:eastAsia="en-US"/>
        </w:rPr>
        <w:t>über</w:t>
      </w:r>
      <w:r w:rsidR="00E33BC5" w:rsidRPr="001D5CF1">
        <w:rPr>
          <w:rFonts w:ascii="Arial" w:eastAsia="Calibri" w:hAnsi="Arial" w:cs="Arial"/>
          <w:sz w:val="24"/>
          <w:szCs w:val="24"/>
          <w:lang w:eastAsia="en-US"/>
        </w:rPr>
        <w:t xml:space="preserve"> einen Zeitraum von </w:t>
      </w:r>
      <w:r w:rsidR="00B042EA" w:rsidRPr="001D5CF1">
        <w:rPr>
          <w:rFonts w:ascii="Arial" w:eastAsia="Calibri" w:hAnsi="Arial" w:cs="Arial"/>
          <w:sz w:val="24"/>
          <w:szCs w:val="24"/>
          <w:lang w:eastAsia="en-US"/>
        </w:rPr>
        <w:t>15 Jahren ab</w:t>
      </w:r>
      <w:r w:rsidR="008C188D" w:rsidRPr="001D5CF1">
        <w:rPr>
          <w:rFonts w:ascii="Arial" w:eastAsia="Calibri" w:hAnsi="Arial" w:cs="Arial"/>
          <w:sz w:val="24"/>
          <w:szCs w:val="24"/>
          <w:lang w:eastAsia="en-US"/>
        </w:rPr>
        <w:t xml:space="preserve">. </w:t>
      </w:r>
      <w:r w:rsidR="0039195B" w:rsidRPr="001D5CF1">
        <w:rPr>
          <w:rFonts w:ascii="Arial" w:eastAsia="Calibri" w:hAnsi="Arial" w:cs="Arial"/>
          <w:sz w:val="24"/>
          <w:szCs w:val="24"/>
          <w:lang w:eastAsia="en-US"/>
        </w:rPr>
        <w:t xml:space="preserve">Eine bereits im Jahr </w:t>
      </w:r>
      <w:r w:rsidR="007A54BC" w:rsidRPr="001D5CF1">
        <w:rPr>
          <w:rFonts w:ascii="Arial" w:eastAsia="Calibri" w:hAnsi="Arial" w:cs="Arial"/>
          <w:sz w:val="24"/>
          <w:szCs w:val="24"/>
          <w:lang w:eastAsia="en-US"/>
        </w:rPr>
        <w:t xml:space="preserve">1994 </w:t>
      </w:r>
      <w:r w:rsidR="00281ED2" w:rsidRPr="001D5CF1">
        <w:rPr>
          <w:rFonts w:ascii="Arial" w:eastAsia="Calibri" w:hAnsi="Arial" w:cs="Arial"/>
          <w:sz w:val="24"/>
          <w:szCs w:val="24"/>
          <w:lang w:eastAsia="en-US"/>
        </w:rPr>
        <w:t xml:space="preserve">in </w:t>
      </w:r>
      <w:r w:rsidR="0051578D" w:rsidRPr="001D5CF1">
        <w:rPr>
          <w:rFonts w:ascii="Arial" w:eastAsia="Calibri" w:hAnsi="Arial" w:cs="Arial"/>
          <w:sz w:val="24"/>
          <w:szCs w:val="24"/>
          <w:lang w:eastAsia="en-US"/>
        </w:rPr>
        <w:t>verfassungswidriger Weise zu niedrig bemesse</w:t>
      </w:r>
      <w:r w:rsidR="00281ED2" w:rsidRPr="001D5CF1">
        <w:rPr>
          <w:rFonts w:ascii="Arial" w:eastAsia="Calibri" w:hAnsi="Arial" w:cs="Arial"/>
          <w:sz w:val="24"/>
          <w:szCs w:val="24"/>
          <w:lang w:eastAsia="en-US"/>
        </w:rPr>
        <w:t xml:space="preserve"> Besoldung wird in den ersten drei Parametern nicht abgebildet. </w:t>
      </w:r>
      <w:r w:rsidR="00C728BF" w:rsidRPr="001D5CF1">
        <w:rPr>
          <w:rFonts w:ascii="Arial" w:eastAsia="Calibri" w:hAnsi="Arial" w:cs="Arial"/>
          <w:sz w:val="24"/>
          <w:szCs w:val="24"/>
          <w:lang w:eastAsia="en-US"/>
        </w:rPr>
        <w:t xml:space="preserve">Eine </w:t>
      </w:r>
      <w:r w:rsidR="005378B3" w:rsidRPr="001D5CF1">
        <w:rPr>
          <w:rFonts w:ascii="Arial" w:eastAsia="Calibri" w:hAnsi="Arial" w:cs="Arial"/>
          <w:sz w:val="24"/>
          <w:szCs w:val="24"/>
          <w:lang w:eastAsia="en-US"/>
        </w:rPr>
        <w:t xml:space="preserve">zu niedrig bemessene Besoldung, welche </w:t>
      </w:r>
      <w:r w:rsidR="007E6FDF" w:rsidRPr="001D5CF1">
        <w:rPr>
          <w:rFonts w:ascii="Arial" w:eastAsia="Calibri" w:hAnsi="Arial" w:cs="Arial"/>
          <w:sz w:val="24"/>
          <w:szCs w:val="24"/>
          <w:lang w:eastAsia="en-US"/>
        </w:rPr>
        <w:t xml:space="preserve">über 15 Jahre </w:t>
      </w:r>
      <w:r w:rsidR="00394396" w:rsidRPr="001D5CF1">
        <w:rPr>
          <w:rFonts w:ascii="Arial" w:eastAsia="Calibri" w:hAnsi="Arial" w:cs="Arial"/>
          <w:sz w:val="24"/>
          <w:szCs w:val="24"/>
          <w:lang w:eastAsia="en-US"/>
        </w:rPr>
        <w:t>genauso</w:t>
      </w:r>
      <w:r w:rsidR="007E6FDF" w:rsidRPr="001D5CF1">
        <w:rPr>
          <w:rFonts w:ascii="Arial" w:eastAsia="Calibri" w:hAnsi="Arial" w:cs="Arial"/>
          <w:sz w:val="24"/>
          <w:szCs w:val="24"/>
          <w:lang w:eastAsia="en-US"/>
        </w:rPr>
        <w:t xml:space="preserve"> stark ansteigt </w:t>
      </w:r>
      <w:r w:rsidR="00394396" w:rsidRPr="001D5CF1">
        <w:rPr>
          <w:rFonts w:ascii="Arial" w:eastAsia="Calibri" w:hAnsi="Arial" w:cs="Arial"/>
          <w:sz w:val="24"/>
          <w:szCs w:val="24"/>
          <w:lang w:eastAsia="en-US"/>
        </w:rPr>
        <w:t xml:space="preserve">wie </w:t>
      </w:r>
      <w:r w:rsidR="00183E59" w:rsidRPr="001D5CF1">
        <w:rPr>
          <w:rFonts w:ascii="Arial" w:eastAsia="Calibri" w:hAnsi="Arial" w:cs="Arial"/>
          <w:sz w:val="24"/>
          <w:szCs w:val="24"/>
          <w:lang w:eastAsia="en-US"/>
        </w:rPr>
        <w:t xml:space="preserve">z. B. </w:t>
      </w:r>
      <w:r w:rsidR="007E6FDF" w:rsidRPr="001D5CF1">
        <w:rPr>
          <w:rFonts w:ascii="Arial" w:eastAsia="Calibri" w:hAnsi="Arial" w:cs="Arial"/>
          <w:sz w:val="24"/>
          <w:szCs w:val="24"/>
          <w:lang w:eastAsia="en-US"/>
        </w:rPr>
        <w:t>d</w:t>
      </w:r>
      <w:r w:rsidR="00C450FF" w:rsidRPr="001D5CF1">
        <w:rPr>
          <w:rFonts w:ascii="Arial" w:eastAsia="Calibri" w:hAnsi="Arial" w:cs="Arial"/>
          <w:sz w:val="24"/>
          <w:szCs w:val="24"/>
          <w:lang w:eastAsia="en-US"/>
        </w:rPr>
        <w:t xml:space="preserve">er Nominallohn, </w:t>
      </w:r>
      <w:r w:rsidR="00910CB5" w:rsidRPr="001D5CF1">
        <w:rPr>
          <w:rFonts w:ascii="Arial" w:eastAsia="Calibri" w:hAnsi="Arial" w:cs="Arial"/>
          <w:sz w:val="24"/>
          <w:szCs w:val="24"/>
          <w:lang w:eastAsia="en-US"/>
        </w:rPr>
        <w:t xml:space="preserve">ist auch nach 15 Jahren nicht ausreichend. </w:t>
      </w:r>
      <w:r w:rsidR="00E36B84" w:rsidRPr="001D5CF1">
        <w:rPr>
          <w:rFonts w:ascii="Arial" w:eastAsia="Calibri" w:hAnsi="Arial" w:cs="Arial"/>
          <w:sz w:val="24"/>
          <w:szCs w:val="24"/>
          <w:lang w:eastAsia="en-US"/>
        </w:rPr>
        <w:t>Nur d</w:t>
      </w:r>
      <w:r w:rsidR="003C02B8" w:rsidRPr="001D5CF1">
        <w:rPr>
          <w:rFonts w:ascii="Arial" w:eastAsia="Calibri" w:hAnsi="Arial" w:cs="Arial"/>
          <w:sz w:val="24"/>
          <w:szCs w:val="24"/>
          <w:lang w:eastAsia="en-US"/>
        </w:rPr>
        <w:t xml:space="preserve">er vierte Parameter erfasst </w:t>
      </w:r>
      <w:r w:rsidR="00AC4422" w:rsidRPr="001D5CF1">
        <w:rPr>
          <w:rFonts w:ascii="Arial" w:eastAsia="Calibri" w:hAnsi="Arial" w:cs="Arial"/>
          <w:sz w:val="24"/>
          <w:szCs w:val="24"/>
          <w:lang w:eastAsia="en-US"/>
        </w:rPr>
        <w:t xml:space="preserve">eine </w:t>
      </w:r>
      <w:r w:rsidR="00600C6C" w:rsidRPr="001D5CF1">
        <w:rPr>
          <w:rFonts w:ascii="Arial" w:eastAsia="Calibri" w:hAnsi="Arial" w:cs="Arial"/>
          <w:sz w:val="24"/>
          <w:szCs w:val="24"/>
          <w:lang w:eastAsia="en-US"/>
        </w:rPr>
        <w:t xml:space="preserve">so lang andauernde </w:t>
      </w:r>
      <w:r w:rsidR="00742CCC" w:rsidRPr="001D5CF1">
        <w:rPr>
          <w:rFonts w:ascii="Arial" w:eastAsia="Calibri" w:hAnsi="Arial" w:cs="Arial"/>
          <w:sz w:val="24"/>
          <w:szCs w:val="24"/>
          <w:lang w:eastAsia="en-US"/>
        </w:rPr>
        <w:t xml:space="preserve">Unterschreitung </w:t>
      </w:r>
      <w:r w:rsidR="008A203B" w:rsidRPr="001D5CF1">
        <w:rPr>
          <w:rFonts w:ascii="Arial" w:eastAsia="Calibri" w:hAnsi="Arial" w:cs="Arial"/>
          <w:sz w:val="24"/>
          <w:szCs w:val="24"/>
          <w:lang w:eastAsia="en-US"/>
        </w:rPr>
        <w:t>der Angemessenheit der Besoldung.</w:t>
      </w:r>
      <w:r w:rsidR="00742CCC" w:rsidRPr="001D5CF1">
        <w:rPr>
          <w:rFonts w:ascii="Arial" w:eastAsia="Calibri" w:hAnsi="Arial" w:cs="Arial"/>
          <w:sz w:val="24"/>
          <w:szCs w:val="24"/>
          <w:lang w:eastAsia="en-US"/>
        </w:rPr>
        <w:t xml:space="preserve"> </w:t>
      </w:r>
      <w:r w:rsidR="001C60CA" w:rsidRPr="001D5CF1">
        <w:rPr>
          <w:rFonts w:ascii="Arial" w:eastAsia="Calibri" w:hAnsi="Arial" w:cs="Arial"/>
          <w:sz w:val="24"/>
          <w:szCs w:val="24"/>
          <w:lang w:eastAsia="en-US"/>
        </w:rPr>
        <w:t>Wird die Mindestalimentation über Jahrzehnte um nahezu 30</w:t>
      </w:r>
      <w:r w:rsidR="00D44223">
        <w:rPr>
          <w:rFonts w:ascii="Arial" w:eastAsia="Calibri" w:hAnsi="Arial" w:cs="Arial"/>
          <w:sz w:val="24"/>
          <w:szCs w:val="24"/>
          <w:lang w:eastAsia="en-US"/>
        </w:rPr>
        <w:t> </w:t>
      </w:r>
      <w:r w:rsidR="001C60CA" w:rsidRPr="001D5CF1">
        <w:rPr>
          <w:rFonts w:ascii="Arial" w:eastAsia="Calibri" w:hAnsi="Arial" w:cs="Arial"/>
          <w:sz w:val="24"/>
          <w:szCs w:val="24"/>
          <w:lang w:eastAsia="en-US"/>
        </w:rPr>
        <w:t xml:space="preserve">% unterschritten, so ist es nahezu </w:t>
      </w:r>
      <w:r w:rsidR="006B68FE" w:rsidRPr="001D5CF1">
        <w:rPr>
          <w:rFonts w:ascii="Arial" w:eastAsia="Calibri" w:hAnsi="Arial" w:cs="Arial"/>
          <w:sz w:val="24"/>
          <w:szCs w:val="24"/>
          <w:lang w:eastAsia="en-US"/>
        </w:rPr>
        <w:t>sicher</w:t>
      </w:r>
      <w:r w:rsidR="001C60CA" w:rsidRPr="001D5CF1">
        <w:rPr>
          <w:rFonts w:ascii="Arial" w:eastAsia="Calibri" w:hAnsi="Arial" w:cs="Arial"/>
          <w:sz w:val="24"/>
          <w:szCs w:val="24"/>
          <w:lang w:eastAsia="en-US"/>
        </w:rPr>
        <w:t xml:space="preserve">, dass </w:t>
      </w:r>
      <w:r w:rsidR="00C11ADD" w:rsidRPr="001D5CF1">
        <w:rPr>
          <w:rFonts w:ascii="Arial" w:eastAsia="Calibri" w:hAnsi="Arial" w:cs="Arial"/>
          <w:sz w:val="24"/>
          <w:szCs w:val="24"/>
          <w:lang w:eastAsia="en-US"/>
        </w:rPr>
        <w:t>die</w:t>
      </w:r>
      <w:r w:rsidR="006B68FE" w:rsidRPr="001D5CF1">
        <w:rPr>
          <w:rFonts w:ascii="Arial" w:eastAsia="Calibri" w:hAnsi="Arial" w:cs="Arial"/>
          <w:sz w:val="24"/>
          <w:szCs w:val="24"/>
          <w:lang w:eastAsia="en-US"/>
        </w:rPr>
        <w:t xml:space="preserve"> darauf aufbauende Besoldungsstaffelung fehlerhaft </w:t>
      </w:r>
      <w:r w:rsidR="00C11ADD" w:rsidRPr="001D5CF1">
        <w:rPr>
          <w:rFonts w:ascii="Arial" w:eastAsia="Calibri" w:hAnsi="Arial" w:cs="Arial"/>
          <w:sz w:val="24"/>
          <w:szCs w:val="24"/>
          <w:lang w:eastAsia="en-US"/>
        </w:rPr>
        <w:t>ist.</w:t>
      </w:r>
    </w:p>
    <w:p w14:paraId="08E1674D" w14:textId="77777777" w:rsidR="001730C1" w:rsidRPr="001D5CF1" w:rsidRDefault="001730C1" w:rsidP="003B0CDB">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11E75F59" w14:textId="39A597FB" w:rsidR="00BB5A8E" w:rsidRDefault="00033B10" w:rsidP="003B0CDB">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1D5CF1">
        <w:rPr>
          <w:rFonts w:ascii="Arial" w:eastAsia="Calibri" w:hAnsi="Arial" w:cs="Arial"/>
          <w:sz w:val="24"/>
          <w:szCs w:val="24"/>
          <w:lang w:eastAsia="en-US"/>
        </w:rPr>
        <w:t xml:space="preserve">cc) </w:t>
      </w:r>
      <w:r w:rsidR="00C2352F" w:rsidRPr="001D5CF1">
        <w:rPr>
          <w:rFonts w:ascii="Arial" w:eastAsia="Calibri" w:hAnsi="Arial" w:cs="Arial"/>
          <w:sz w:val="24"/>
          <w:szCs w:val="24"/>
          <w:lang w:eastAsia="en-US"/>
        </w:rPr>
        <w:t xml:space="preserve">Es kommt hinzu, dass der relative Abstand zwischen der </w:t>
      </w:r>
      <w:r w:rsidR="00DE00CF" w:rsidRPr="001D5CF1">
        <w:rPr>
          <w:rFonts w:ascii="Arial" w:eastAsia="Calibri" w:hAnsi="Arial" w:cs="Arial"/>
          <w:sz w:val="24"/>
          <w:szCs w:val="24"/>
          <w:lang w:eastAsia="en-US"/>
        </w:rPr>
        <w:t>R-</w:t>
      </w:r>
      <w:r w:rsidR="00C2352F" w:rsidRPr="001D5CF1">
        <w:rPr>
          <w:rFonts w:ascii="Arial" w:eastAsia="Calibri" w:hAnsi="Arial" w:cs="Arial"/>
          <w:sz w:val="24"/>
          <w:szCs w:val="24"/>
          <w:lang w:eastAsia="en-US"/>
        </w:rPr>
        <w:t xml:space="preserve">Besoldung und der jeweiligen untersten Besoldungsgruppe (d.h. A 2 bis 2010, A 4 bis in das Jahr 2020 und A 5 ab 2021) </w:t>
      </w:r>
      <w:r w:rsidR="00C2352F" w:rsidRPr="001D5CF1">
        <w:rPr>
          <w:rFonts w:ascii="Arial" w:eastAsia="Calibri" w:hAnsi="Arial" w:cs="Arial"/>
          <w:sz w:val="24"/>
          <w:szCs w:val="24"/>
          <w:lang w:eastAsia="en-US"/>
        </w:rPr>
        <w:lastRenderedPageBreak/>
        <w:t>massiv</w:t>
      </w:r>
      <w:r w:rsidR="00C2352F" w:rsidRPr="00BA3044">
        <w:rPr>
          <w:rFonts w:ascii="Arial" w:eastAsia="Calibri" w:hAnsi="Arial" w:cs="Arial"/>
          <w:sz w:val="24"/>
          <w:szCs w:val="24"/>
          <w:lang w:eastAsia="en-US"/>
        </w:rPr>
        <w:t xml:space="preserve"> abgeschmolzen wurde. Betrug im Jahr 2004 die </w:t>
      </w:r>
      <w:r w:rsidR="00C2352F">
        <w:rPr>
          <w:rFonts w:ascii="Arial" w:eastAsia="Calibri" w:hAnsi="Arial" w:cs="Arial"/>
          <w:sz w:val="24"/>
          <w:szCs w:val="24"/>
          <w:lang w:eastAsia="en-US"/>
        </w:rPr>
        <w:t>Gesamtb</w:t>
      </w:r>
      <w:r w:rsidR="00C2352F" w:rsidRPr="00BA3044">
        <w:rPr>
          <w:rFonts w:ascii="Arial" w:eastAsia="Calibri" w:hAnsi="Arial" w:cs="Arial"/>
          <w:sz w:val="24"/>
          <w:szCs w:val="24"/>
          <w:lang w:eastAsia="en-US"/>
        </w:rPr>
        <w:t>esoldung</w:t>
      </w:r>
      <w:r w:rsidR="00C2352F">
        <w:rPr>
          <w:rFonts w:ascii="Arial" w:eastAsia="Calibri" w:hAnsi="Arial" w:cs="Arial"/>
          <w:sz w:val="24"/>
          <w:szCs w:val="24"/>
          <w:lang w:eastAsia="en-US"/>
        </w:rPr>
        <w:t xml:space="preserve"> (Grundgehalt nebst Sonderzahlungen und Zulagen)</w:t>
      </w:r>
      <w:r w:rsidR="00C2352F" w:rsidRPr="00BA3044">
        <w:rPr>
          <w:rFonts w:ascii="Arial" w:eastAsia="Calibri" w:hAnsi="Arial" w:cs="Arial"/>
          <w:sz w:val="24"/>
          <w:szCs w:val="24"/>
          <w:lang w:eastAsia="en-US"/>
        </w:rPr>
        <w:t xml:space="preserve"> in </w:t>
      </w:r>
      <w:r w:rsidR="003E74FD">
        <w:rPr>
          <w:rFonts w:ascii="Arial" w:eastAsia="Calibri" w:hAnsi="Arial" w:cs="Arial"/>
          <w:sz w:val="24"/>
          <w:szCs w:val="24"/>
          <w:lang w:eastAsia="en-US"/>
        </w:rPr>
        <w:t xml:space="preserve">der </w:t>
      </w:r>
      <w:r w:rsidR="00C2352F" w:rsidRPr="00BA3044">
        <w:rPr>
          <w:rFonts w:ascii="Arial" w:eastAsia="Calibri" w:hAnsi="Arial" w:cs="Arial"/>
          <w:sz w:val="24"/>
          <w:szCs w:val="24"/>
          <w:lang w:eastAsia="en-US"/>
        </w:rPr>
        <w:t>R</w:t>
      </w:r>
      <w:r w:rsidR="003E74FD">
        <w:rPr>
          <w:rFonts w:ascii="Arial" w:eastAsia="Calibri" w:hAnsi="Arial" w:cs="Arial"/>
          <w:sz w:val="24"/>
          <w:szCs w:val="24"/>
          <w:lang w:eastAsia="en-US"/>
        </w:rPr>
        <w:t>-</w:t>
      </w:r>
      <w:r w:rsidR="00C2352F" w:rsidRPr="00BA3044">
        <w:rPr>
          <w:rFonts w:ascii="Arial" w:eastAsia="Calibri" w:hAnsi="Arial" w:cs="Arial"/>
          <w:sz w:val="24"/>
          <w:szCs w:val="24"/>
          <w:lang w:eastAsia="en-US"/>
        </w:rPr>
        <w:t xml:space="preserve">1-Endstufe noch 192,62 % der </w:t>
      </w:r>
      <w:r w:rsidR="00C2352F">
        <w:rPr>
          <w:rFonts w:ascii="Arial" w:eastAsia="Calibri" w:hAnsi="Arial" w:cs="Arial"/>
          <w:sz w:val="24"/>
          <w:szCs w:val="24"/>
          <w:lang w:eastAsia="en-US"/>
        </w:rPr>
        <w:t>Gesamtb</w:t>
      </w:r>
      <w:r w:rsidR="00C2352F" w:rsidRPr="00BA3044">
        <w:rPr>
          <w:rFonts w:ascii="Arial" w:eastAsia="Calibri" w:hAnsi="Arial" w:cs="Arial"/>
          <w:sz w:val="24"/>
          <w:szCs w:val="24"/>
          <w:lang w:eastAsia="en-US"/>
        </w:rPr>
        <w:t xml:space="preserve">esoldung in der Endstufe der untersten Besoldungsgruppe, so </w:t>
      </w:r>
      <w:r w:rsidR="003E74FD">
        <w:rPr>
          <w:rFonts w:ascii="Arial" w:eastAsia="Calibri" w:hAnsi="Arial" w:cs="Arial"/>
          <w:sz w:val="24"/>
          <w:szCs w:val="24"/>
          <w:lang w:eastAsia="en-US"/>
        </w:rPr>
        <w:t xml:space="preserve">liegt </w:t>
      </w:r>
      <w:r w:rsidR="00C2352F" w:rsidRPr="00BA3044">
        <w:rPr>
          <w:rFonts w:ascii="Arial" w:eastAsia="Calibri" w:hAnsi="Arial" w:cs="Arial"/>
          <w:sz w:val="24"/>
          <w:szCs w:val="24"/>
          <w:lang w:eastAsia="en-US"/>
        </w:rPr>
        <w:t>die R-Besoldung nunmehr nur noch </w:t>
      </w:r>
      <w:r w:rsidR="003E74FD">
        <w:rPr>
          <w:rFonts w:ascii="Arial" w:eastAsia="Calibri" w:hAnsi="Arial" w:cs="Arial"/>
          <w:sz w:val="24"/>
          <w:szCs w:val="24"/>
          <w:lang w:eastAsia="en-US"/>
        </w:rPr>
        <w:t xml:space="preserve">bei </w:t>
      </w:r>
      <w:r w:rsidR="00C2352F" w:rsidRPr="00BA3044">
        <w:rPr>
          <w:rFonts w:ascii="Arial" w:eastAsia="Calibri" w:hAnsi="Arial" w:cs="Arial"/>
          <w:sz w:val="24"/>
          <w:szCs w:val="24"/>
          <w:lang w:eastAsia="en-US"/>
        </w:rPr>
        <w:t>137,84 % im Vergleich zur Endstufe der untersten Besoldungsgruppe.</w:t>
      </w:r>
    </w:p>
    <w:p w14:paraId="0F19FD18" w14:textId="52323752" w:rsidR="00C2352F" w:rsidRDefault="00C2352F" w:rsidP="003B0CDB">
      <w:pPr>
        <w:overflowPunct/>
        <w:autoSpaceDE/>
        <w:autoSpaceDN/>
        <w:adjustRightInd/>
        <w:spacing w:line="276" w:lineRule="auto"/>
        <w:contextualSpacing/>
        <w:jc w:val="both"/>
        <w:textAlignment w:val="auto"/>
        <w:rPr>
          <w:rFonts w:ascii="Arial" w:eastAsia="Calibri" w:hAnsi="Arial" w:cs="Arial"/>
          <w:sz w:val="24"/>
          <w:szCs w:val="24"/>
          <w:lang w:eastAsia="en-US"/>
        </w:rPr>
      </w:pPr>
    </w:p>
    <w:tbl>
      <w:tblPr>
        <w:tblW w:w="9695" w:type="dxa"/>
        <w:tblInd w:w="-23" w:type="dxa"/>
        <w:tblCellMar>
          <w:left w:w="70" w:type="dxa"/>
          <w:right w:w="70" w:type="dxa"/>
        </w:tblCellMar>
        <w:tblLook w:val="04A0" w:firstRow="1" w:lastRow="0" w:firstColumn="1" w:lastColumn="0" w:noHBand="0" w:noVBand="1"/>
      </w:tblPr>
      <w:tblGrid>
        <w:gridCol w:w="1209"/>
        <w:gridCol w:w="196"/>
        <w:gridCol w:w="974"/>
        <w:gridCol w:w="42"/>
        <w:gridCol w:w="1212"/>
        <w:gridCol w:w="775"/>
        <w:gridCol w:w="437"/>
        <w:gridCol w:w="1212"/>
        <w:gridCol w:w="1212"/>
        <w:gridCol w:w="1217"/>
        <w:gridCol w:w="1209"/>
      </w:tblGrid>
      <w:tr w:rsidR="00C2352F" w:rsidRPr="00615810" w14:paraId="14E8C90C" w14:textId="77777777" w:rsidTr="003B54F4">
        <w:trPr>
          <w:gridBefore w:val="2"/>
          <w:gridAfter w:val="5"/>
          <w:wBefore w:w="1405" w:type="dxa"/>
          <w:wAfter w:w="5287" w:type="dxa"/>
          <w:trHeight w:val="684"/>
        </w:trPr>
        <w:tc>
          <w:tcPr>
            <w:tcW w:w="974" w:type="dxa"/>
            <w:tcBorders>
              <w:top w:val="double" w:sz="6" w:space="0" w:color="auto"/>
              <w:left w:val="double" w:sz="6" w:space="0" w:color="auto"/>
              <w:bottom w:val="single" w:sz="4" w:space="0" w:color="auto"/>
              <w:right w:val="single" w:sz="4" w:space="0" w:color="auto"/>
            </w:tcBorders>
            <w:shd w:val="clear" w:color="auto" w:fill="auto"/>
            <w:hideMark/>
          </w:tcPr>
          <w:p w14:paraId="730F4454"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 </w:t>
            </w:r>
          </w:p>
        </w:tc>
        <w:tc>
          <w:tcPr>
            <w:tcW w:w="2029" w:type="dxa"/>
            <w:gridSpan w:val="3"/>
            <w:tcBorders>
              <w:top w:val="double" w:sz="6" w:space="0" w:color="auto"/>
              <w:left w:val="nil"/>
              <w:bottom w:val="single" w:sz="4" w:space="0" w:color="auto"/>
              <w:right w:val="double" w:sz="6" w:space="0" w:color="auto"/>
            </w:tcBorders>
            <w:shd w:val="clear" w:color="auto" w:fill="auto"/>
            <w:hideMark/>
          </w:tcPr>
          <w:p w14:paraId="2BBD36B7"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Rel. Abstand R 1 zu unterster Besoldungsgruppe</w:t>
            </w:r>
          </w:p>
        </w:tc>
      </w:tr>
      <w:tr w:rsidR="00C2352F" w:rsidRPr="00615810" w14:paraId="082DB766"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41759E89"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2004</w:t>
            </w:r>
          </w:p>
        </w:tc>
        <w:tc>
          <w:tcPr>
            <w:tcW w:w="2029" w:type="dxa"/>
            <w:gridSpan w:val="3"/>
            <w:tcBorders>
              <w:top w:val="nil"/>
              <w:left w:val="nil"/>
              <w:bottom w:val="nil"/>
              <w:right w:val="double" w:sz="6" w:space="0" w:color="auto"/>
            </w:tcBorders>
            <w:shd w:val="clear" w:color="auto" w:fill="auto"/>
            <w:noWrap/>
            <w:vAlign w:val="bottom"/>
            <w:hideMark/>
          </w:tcPr>
          <w:p w14:paraId="584FCB0E"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192,62</w:t>
            </w:r>
            <w:r>
              <w:rPr>
                <w:rFonts w:ascii="Calibri" w:hAnsi="Calibri" w:cs="Calibri"/>
                <w:color w:val="000000"/>
              </w:rPr>
              <w:t xml:space="preserve"> %</w:t>
            </w:r>
          </w:p>
        </w:tc>
      </w:tr>
      <w:tr w:rsidR="00C2352F" w:rsidRPr="00615810" w14:paraId="652CBC07"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5CE17954"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2005</w:t>
            </w:r>
          </w:p>
        </w:tc>
        <w:tc>
          <w:tcPr>
            <w:tcW w:w="2029" w:type="dxa"/>
            <w:gridSpan w:val="3"/>
            <w:tcBorders>
              <w:top w:val="nil"/>
              <w:left w:val="nil"/>
              <w:bottom w:val="nil"/>
              <w:right w:val="double" w:sz="6" w:space="0" w:color="auto"/>
            </w:tcBorders>
            <w:shd w:val="clear" w:color="auto" w:fill="auto"/>
            <w:noWrap/>
            <w:vAlign w:val="bottom"/>
            <w:hideMark/>
          </w:tcPr>
          <w:p w14:paraId="50F86AF9"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192,62</w:t>
            </w:r>
            <w:r>
              <w:rPr>
                <w:rFonts w:ascii="Calibri" w:hAnsi="Calibri" w:cs="Calibri"/>
                <w:color w:val="000000"/>
              </w:rPr>
              <w:t xml:space="preserve"> %</w:t>
            </w:r>
          </w:p>
        </w:tc>
      </w:tr>
      <w:tr w:rsidR="00C2352F" w:rsidRPr="00615810" w14:paraId="7DE5C3AA"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00365621"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2006</w:t>
            </w:r>
          </w:p>
        </w:tc>
        <w:tc>
          <w:tcPr>
            <w:tcW w:w="2029" w:type="dxa"/>
            <w:gridSpan w:val="3"/>
            <w:tcBorders>
              <w:top w:val="nil"/>
              <w:left w:val="nil"/>
              <w:bottom w:val="nil"/>
              <w:right w:val="double" w:sz="6" w:space="0" w:color="auto"/>
            </w:tcBorders>
            <w:shd w:val="clear" w:color="auto" w:fill="auto"/>
            <w:noWrap/>
            <w:vAlign w:val="bottom"/>
            <w:hideMark/>
          </w:tcPr>
          <w:p w14:paraId="3F92CD96"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192,62</w:t>
            </w:r>
            <w:r>
              <w:rPr>
                <w:rFonts w:ascii="Calibri" w:hAnsi="Calibri" w:cs="Calibri"/>
                <w:color w:val="000000"/>
              </w:rPr>
              <w:t xml:space="preserve"> %</w:t>
            </w:r>
          </w:p>
        </w:tc>
      </w:tr>
      <w:tr w:rsidR="00C2352F" w:rsidRPr="00615810" w14:paraId="1881870F"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7290469E"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2007</w:t>
            </w:r>
          </w:p>
        </w:tc>
        <w:tc>
          <w:tcPr>
            <w:tcW w:w="2029" w:type="dxa"/>
            <w:gridSpan w:val="3"/>
            <w:tcBorders>
              <w:top w:val="nil"/>
              <w:left w:val="nil"/>
              <w:bottom w:val="nil"/>
              <w:right w:val="double" w:sz="6" w:space="0" w:color="auto"/>
            </w:tcBorders>
            <w:shd w:val="clear" w:color="auto" w:fill="auto"/>
            <w:noWrap/>
            <w:vAlign w:val="bottom"/>
            <w:hideMark/>
          </w:tcPr>
          <w:p w14:paraId="23F210F7"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192,62</w:t>
            </w:r>
            <w:r>
              <w:rPr>
                <w:rFonts w:ascii="Calibri" w:hAnsi="Calibri" w:cs="Calibri"/>
                <w:color w:val="000000"/>
              </w:rPr>
              <w:t xml:space="preserve"> %</w:t>
            </w:r>
          </w:p>
        </w:tc>
      </w:tr>
      <w:tr w:rsidR="00C2352F" w:rsidRPr="00615810" w14:paraId="686CA73A"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3C270E2F"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2008</w:t>
            </w:r>
          </w:p>
        </w:tc>
        <w:tc>
          <w:tcPr>
            <w:tcW w:w="2029" w:type="dxa"/>
            <w:gridSpan w:val="3"/>
            <w:tcBorders>
              <w:top w:val="nil"/>
              <w:left w:val="nil"/>
              <w:bottom w:val="nil"/>
              <w:right w:val="double" w:sz="6" w:space="0" w:color="auto"/>
            </w:tcBorders>
            <w:shd w:val="clear" w:color="auto" w:fill="auto"/>
            <w:noWrap/>
            <w:vAlign w:val="bottom"/>
            <w:hideMark/>
          </w:tcPr>
          <w:p w14:paraId="415802B5"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191,60</w:t>
            </w:r>
            <w:r>
              <w:rPr>
                <w:rFonts w:ascii="Calibri" w:hAnsi="Calibri" w:cs="Calibri"/>
                <w:color w:val="000000"/>
              </w:rPr>
              <w:t xml:space="preserve"> %</w:t>
            </w:r>
          </w:p>
        </w:tc>
      </w:tr>
      <w:tr w:rsidR="00C2352F" w:rsidRPr="00615810" w14:paraId="52B3CC1D"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2B58553B"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2009</w:t>
            </w:r>
          </w:p>
        </w:tc>
        <w:tc>
          <w:tcPr>
            <w:tcW w:w="2029" w:type="dxa"/>
            <w:gridSpan w:val="3"/>
            <w:tcBorders>
              <w:top w:val="nil"/>
              <w:left w:val="nil"/>
              <w:bottom w:val="nil"/>
              <w:right w:val="double" w:sz="6" w:space="0" w:color="auto"/>
            </w:tcBorders>
            <w:shd w:val="clear" w:color="auto" w:fill="auto"/>
            <w:noWrap/>
            <w:vAlign w:val="bottom"/>
            <w:hideMark/>
          </w:tcPr>
          <w:p w14:paraId="76CA8741"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191,60</w:t>
            </w:r>
            <w:r>
              <w:rPr>
                <w:rFonts w:ascii="Calibri" w:hAnsi="Calibri" w:cs="Calibri"/>
                <w:color w:val="000000"/>
              </w:rPr>
              <w:t xml:space="preserve"> %</w:t>
            </w:r>
          </w:p>
        </w:tc>
      </w:tr>
      <w:tr w:rsidR="00C2352F" w:rsidRPr="00615810" w14:paraId="383AA27F"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56AA45FB"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2010</w:t>
            </w:r>
          </w:p>
        </w:tc>
        <w:tc>
          <w:tcPr>
            <w:tcW w:w="2029" w:type="dxa"/>
            <w:gridSpan w:val="3"/>
            <w:tcBorders>
              <w:top w:val="nil"/>
              <w:left w:val="nil"/>
              <w:bottom w:val="nil"/>
              <w:right w:val="double" w:sz="6" w:space="0" w:color="auto"/>
            </w:tcBorders>
            <w:shd w:val="clear" w:color="auto" w:fill="auto"/>
            <w:noWrap/>
            <w:vAlign w:val="bottom"/>
            <w:hideMark/>
          </w:tcPr>
          <w:p w14:paraId="5D4B9908"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192,71</w:t>
            </w:r>
            <w:r>
              <w:rPr>
                <w:rFonts w:ascii="Calibri" w:hAnsi="Calibri" w:cs="Calibri"/>
                <w:color w:val="000000"/>
              </w:rPr>
              <w:t xml:space="preserve"> %</w:t>
            </w:r>
          </w:p>
        </w:tc>
      </w:tr>
      <w:tr w:rsidR="00C2352F" w:rsidRPr="00615810" w14:paraId="2317BE5C"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3C78ACC4"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2011</w:t>
            </w:r>
          </w:p>
        </w:tc>
        <w:tc>
          <w:tcPr>
            <w:tcW w:w="2029" w:type="dxa"/>
            <w:gridSpan w:val="3"/>
            <w:tcBorders>
              <w:top w:val="nil"/>
              <w:left w:val="nil"/>
              <w:bottom w:val="nil"/>
              <w:right w:val="double" w:sz="6" w:space="0" w:color="auto"/>
            </w:tcBorders>
            <w:shd w:val="clear" w:color="auto" w:fill="auto"/>
            <w:noWrap/>
            <w:vAlign w:val="bottom"/>
            <w:hideMark/>
          </w:tcPr>
          <w:p w14:paraId="7C88B1BE"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167,46</w:t>
            </w:r>
            <w:r>
              <w:rPr>
                <w:rFonts w:ascii="Calibri" w:hAnsi="Calibri" w:cs="Calibri"/>
                <w:color w:val="000000"/>
              </w:rPr>
              <w:t xml:space="preserve"> %</w:t>
            </w:r>
          </w:p>
        </w:tc>
      </w:tr>
      <w:tr w:rsidR="00C2352F" w:rsidRPr="00615810" w14:paraId="348F593A"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60EE9E78"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2012</w:t>
            </w:r>
          </w:p>
        </w:tc>
        <w:tc>
          <w:tcPr>
            <w:tcW w:w="2029" w:type="dxa"/>
            <w:gridSpan w:val="3"/>
            <w:tcBorders>
              <w:top w:val="nil"/>
              <w:left w:val="nil"/>
              <w:bottom w:val="nil"/>
              <w:right w:val="double" w:sz="6" w:space="0" w:color="auto"/>
            </w:tcBorders>
            <w:shd w:val="clear" w:color="auto" w:fill="auto"/>
            <w:noWrap/>
            <w:vAlign w:val="bottom"/>
            <w:hideMark/>
          </w:tcPr>
          <w:p w14:paraId="3D4253A3"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167,55</w:t>
            </w:r>
            <w:r>
              <w:rPr>
                <w:rFonts w:ascii="Calibri" w:hAnsi="Calibri" w:cs="Calibri"/>
                <w:color w:val="000000"/>
              </w:rPr>
              <w:t xml:space="preserve"> %</w:t>
            </w:r>
          </w:p>
        </w:tc>
      </w:tr>
      <w:tr w:rsidR="00C2352F" w:rsidRPr="00615810" w14:paraId="33A03995"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7A5EC4B5"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2013</w:t>
            </w:r>
          </w:p>
        </w:tc>
        <w:tc>
          <w:tcPr>
            <w:tcW w:w="2029" w:type="dxa"/>
            <w:gridSpan w:val="3"/>
            <w:tcBorders>
              <w:top w:val="nil"/>
              <w:left w:val="nil"/>
              <w:bottom w:val="nil"/>
              <w:right w:val="double" w:sz="6" w:space="0" w:color="auto"/>
            </w:tcBorders>
            <w:shd w:val="clear" w:color="auto" w:fill="auto"/>
            <w:noWrap/>
            <w:vAlign w:val="bottom"/>
            <w:hideMark/>
          </w:tcPr>
          <w:p w14:paraId="20AD4E44"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167,64</w:t>
            </w:r>
            <w:r>
              <w:rPr>
                <w:rFonts w:ascii="Calibri" w:hAnsi="Calibri" w:cs="Calibri"/>
                <w:color w:val="000000"/>
              </w:rPr>
              <w:t xml:space="preserve"> %</w:t>
            </w:r>
          </w:p>
        </w:tc>
      </w:tr>
      <w:tr w:rsidR="00C2352F" w:rsidRPr="00615810" w14:paraId="0749CCE1"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24CDC96B"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2014</w:t>
            </w:r>
          </w:p>
        </w:tc>
        <w:tc>
          <w:tcPr>
            <w:tcW w:w="2029" w:type="dxa"/>
            <w:gridSpan w:val="3"/>
            <w:tcBorders>
              <w:top w:val="nil"/>
              <w:left w:val="nil"/>
              <w:bottom w:val="nil"/>
              <w:right w:val="double" w:sz="6" w:space="0" w:color="auto"/>
            </w:tcBorders>
            <w:shd w:val="clear" w:color="auto" w:fill="auto"/>
            <w:noWrap/>
            <w:vAlign w:val="bottom"/>
            <w:hideMark/>
          </w:tcPr>
          <w:p w14:paraId="05B4E1DF"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167,77</w:t>
            </w:r>
            <w:r>
              <w:rPr>
                <w:rFonts w:ascii="Calibri" w:hAnsi="Calibri" w:cs="Calibri"/>
                <w:color w:val="000000"/>
              </w:rPr>
              <w:t xml:space="preserve"> %</w:t>
            </w:r>
          </w:p>
        </w:tc>
      </w:tr>
      <w:tr w:rsidR="00C2352F" w:rsidRPr="00615810" w14:paraId="6EFE1580"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3545954D"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2015</w:t>
            </w:r>
          </w:p>
        </w:tc>
        <w:tc>
          <w:tcPr>
            <w:tcW w:w="2029" w:type="dxa"/>
            <w:gridSpan w:val="3"/>
            <w:tcBorders>
              <w:top w:val="nil"/>
              <w:left w:val="nil"/>
              <w:bottom w:val="nil"/>
              <w:right w:val="double" w:sz="6" w:space="0" w:color="auto"/>
            </w:tcBorders>
            <w:shd w:val="clear" w:color="auto" w:fill="auto"/>
            <w:noWrap/>
            <w:vAlign w:val="bottom"/>
            <w:hideMark/>
          </w:tcPr>
          <w:p w14:paraId="497D8257"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167,89</w:t>
            </w:r>
            <w:r>
              <w:rPr>
                <w:rFonts w:ascii="Calibri" w:hAnsi="Calibri" w:cs="Calibri"/>
                <w:color w:val="000000"/>
              </w:rPr>
              <w:t xml:space="preserve"> %</w:t>
            </w:r>
          </w:p>
        </w:tc>
      </w:tr>
      <w:tr w:rsidR="00C2352F" w:rsidRPr="00615810" w14:paraId="4781A955"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248BBDCC"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2016</w:t>
            </w:r>
          </w:p>
        </w:tc>
        <w:tc>
          <w:tcPr>
            <w:tcW w:w="2029" w:type="dxa"/>
            <w:gridSpan w:val="3"/>
            <w:tcBorders>
              <w:top w:val="nil"/>
              <w:left w:val="nil"/>
              <w:bottom w:val="nil"/>
              <w:right w:val="double" w:sz="6" w:space="0" w:color="auto"/>
            </w:tcBorders>
            <w:shd w:val="clear" w:color="auto" w:fill="auto"/>
            <w:noWrap/>
            <w:vAlign w:val="bottom"/>
            <w:hideMark/>
          </w:tcPr>
          <w:p w14:paraId="1FFCFCF9"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166,66</w:t>
            </w:r>
            <w:r>
              <w:rPr>
                <w:rFonts w:ascii="Calibri" w:hAnsi="Calibri" w:cs="Calibri"/>
                <w:color w:val="000000"/>
              </w:rPr>
              <w:t xml:space="preserve"> %</w:t>
            </w:r>
          </w:p>
        </w:tc>
      </w:tr>
      <w:tr w:rsidR="00C2352F" w:rsidRPr="00615810" w14:paraId="2832F802"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544A09A7"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2017</w:t>
            </w:r>
          </w:p>
        </w:tc>
        <w:tc>
          <w:tcPr>
            <w:tcW w:w="2029" w:type="dxa"/>
            <w:gridSpan w:val="3"/>
            <w:tcBorders>
              <w:top w:val="nil"/>
              <w:left w:val="nil"/>
              <w:bottom w:val="nil"/>
              <w:right w:val="double" w:sz="6" w:space="0" w:color="auto"/>
            </w:tcBorders>
            <w:shd w:val="clear" w:color="auto" w:fill="auto"/>
            <w:noWrap/>
            <w:vAlign w:val="bottom"/>
            <w:hideMark/>
          </w:tcPr>
          <w:p w14:paraId="37613B76"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161,90</w:t>
            </w:r>
            <w:r>
              <w:rPr>
                <w:rFonts w:ascii="Calibri" w:hAnsi="Calibri" w:cs="Calibri"/>
                <w:color w:val="000000"/>
              </w:rPr>
              <w:t xml:space="preserve"> %</w:t>
            </w:r>
          </w:p>
        </w:tc>
      </w:tr>
      <w:tr w:rsidR="00C2352F" w:rsidRPr="00615810" w14:paraId="2411BAF3"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46612BE9"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2018</w:t>
            </w:r>
          </w:p>
        </w:tc>
        <w:tc>
          <w:tcPr>
            <w:tcW w:w="2029" w:type="dxa"/>
            <w:gridSpan w:val="3"/>
            <w:tcBorders>
              <w:top w:val="nil"/>
              <w:left w:val="nil"/>
              <w:bottom w:val="nil"/>
              <w:right w:val="double" w:sz="6" w:space="0" w:color="auto"/>
            </w:tcBorders>
            <w:shd w:val="clear" w:color="auto" w:fill="auto"/>
            <w:noWrap/>
            <w:vAlign w:val="bottom"/>
            <w:hideMark/>
          </w:tcPr>
          <w:p w14:paraId="18DE528D"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157,57</w:t>
            </w:r>
            <w:r>
              <w:rPr>
                <w:rFonts w:ascii="Calibri" w:hAnsi="Calibri" w:cs="Calibri"/>
                <w:color w:val="000000"/>
              </w:rPr>
              <w:t xml:space="preserve"> %</w:t>
            </w:r>
          </w:p>
        </w:tc>
      </w:tr>
      <w:tr w:rsidR="00C2352F" w:rsidRPr="00615810" w14:paraId="5B6C498A"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573DB9F1"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2019</w:t>
            </w:r>
          </w:p>
        </w:tc>
        <w:tc>
          <w:tcPr>
            <w:tcW w:w="2029" w:type="dxa"/>
            <w:gridSpan w:val="3"/>
            <w:tcBorders>
              <w:top w:val="nil"/>
              <w:left w:val="nil"/>
              <w:bottom w:val="nil"/>
              <w:right w:val="double" w:sz="6" w:space="0" w:color="auto"/>
            </w:tcBorders>
            <w:shd w:val="clear" w:color="auto" w:fill="auto"/>
            <w:noWrap/>
            <w:vAlign w:val="bottom"/>
            <w:hideMark/>
          </w:tcPr>
          <w:p w14:paraId="76133F32"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158,00</w:t>
            </w:r>
            <w:r>
              <w:rPr>
                <w:rFonts w:ascii="Calibri" w:hAnsi="Calibri" w:cs="Calibri"/>
                <w:color w:val="000000"/>
              </w:rPr>
              <w:t xml:space="preserve"> %</w:t>
            </w:r>
          </w:p>
        </w:tc>
      </w:tr>
      <w:tr w:rsidR="00C2352F" w:rsidRPr="00615810" w14:paraId="49515BD9" w14:textId="77777777" w:rsidTr="003B54F4">
        <w:trPr>
          <w:gridBefore w:val="2"/>
          <w:gridAfter w:val="5"/>
          <w:wBefore w:w="1405" w:type="dxa"/>
          <w:wAfter w:w="5287" w:type="dxa"/>
          <w:trHeight w:val="224"/>
        </w:trPr>
        <w:tc>
          <w:tcPr>
            <w:tcW w:w="974" w:type="dxa"/>
            <w:tcBorders>
              <w:top w:val="nil"/>
              <w:left w:val="double" w:sz="6" w:space="0" w:color="auto"/>
              <w:bottom w:val="nil"/>
              <w:right w:val="single" w:sz="4" w:space="0" w:color="auto"/>
            </w:tcBorders>
            <w:shd w:val="clear" w:color="000000" w:fill="BFBFBF"/>
            <w:noWrap/>
            <w:vAlign w:val="bottom"/>
            <w:hideMark/>
          </w:tcPr>
          <w:p w14:paraId="644E0E05"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2020</w:t>
            </w:r>
          </w:p>
        </w:tc>
        <w:tc>
          <w:tcPr>
            <w:tcW w:w="2029" w:type="dxa"/>
            <w:gridSpan w:val="3"/>
            <w:tcBorders>
              <w:top w:val="nil"/>
              <w:left w:val="nil"/>
              <w:bottom w:val="nil"/>
              <w:right w:val="double" w:sz="6" w:space="0" w:color="auto"/>
            </w:tcBorders>
            <w:shd w:val="clear" w:color="auto" w:fill="auto"/>
            <w:noWrap/>
            <w:vAlign w:val="bottom"/>
            <w:hideMark/>
          </w:tcPr>
          <w:p w14:paraId="217CBC52" w14:textId="77777777" w:rsidR="00C2352F" w:rsidRPr="00615810" w:rsidRDefault="00C2352F" w:rsidP="003B0CD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158,42</w:t>
            </w:r>
            <w:r>
              <w:rPr>
                <w:rFonts w:ascii="Calibri" w:hAnsi="Calibri" w:cs="Calibri"/>
                <w:color w:val="000000"/>
              </w:rPr>
              <w:t xml:space="preserve"> %</w:t>
            </w:r>
          </w:p>
        </w:tc>
      </w:tr>
      <w:tr w:rsidR="00C2352F" w:rsidRPr="00615810" w14:paraId="0AFA7C38" w14:textId="77777777" w:rsidTr="003B54F4">
        <w:trPr>
          <w:gridBefore w:val="2"/>
          <w:gridAfter w:val="5"/>
          <w:wBefore w:w="1405" w:type="dxa"/>
          <w:wAfter w:w="5287" w:type="dxa"/>
          <w:trHeight w:val="234"/>
        </w:trPr>
        <w:tc>
          <w:tcPr>
            <w:tcW w:w="974" w:type="dxa"/>
            <w:tcBorders>
              <w:top w:val="nil"/>
              <w:left w:val="double" w:sz="6" w:space="0" w:color="auto"/>
              <w:bottom w:val="double" w:sz="6" w:space="0" w:color="auto"/>
              <w:right w:val="single" w:sz="4" w:space="0" w:color="auto"/>
            </w:tcBorders>
            <w:shd w:val="clear" w:color="000000" w:fill="BFBFBF"/>
            <w:noWrap/>
            <w:vAlign w:val="bottom"/>
            <w:hideMark/>
          </w:tcPr>
          <w:p w14:paraId="513D674D" w14:textId="77777777" w:rsidR="00C2352F" w:rsidRPr="00615810" w:rsidRDefault="00C2352F" w:rsidP="00201B2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2021</w:t>
            </w:r>
          </w:p>
        </w:tc>
        <w:tc>
          <w:tcPr>
            <w:tcW w:w="2029" w:type="dxa"/>
            <w:gridSpan w:val="3"/>
            <w:tcBorders>
              <w:top w:val="nil"/>
              <w:left w:val="nil"/>
              <w:bottom w:val="double" w:sz="6" w:space="0" w:color="auto"/>
              <w:right w:val="double" w:sz="6" w:space="0" w:color="auto"/>
            </w:tcBorders>
            <w:shd w:val="clear" w:color="auto" w:fill="auto"/>
            <w:noWrap/>
            <w:vAlign w:val="bottom"/>
            <w:hideMark/>
          </w:tcPr>
          <w:p w14:paraId="3BB0DC26" w14:textId="77777777" w:rsidR="00C2352F" w:rsidRPr="00615810" w:rsidRDefault="00C2352F" w:rsidP="00201B2B">
            <w:pPr>
              <w:overflowPunct/>
              <w:autoSpaceDE/>
              <w:autoSpaceDN/>
              <w:adjustRightInd/>
              <w:jc w:val="center"/>
              <w:textAlignment w:val="auto"/>
              <w:rPr>
                <w:rFonts w:ascii="Calibri" w:hAnsi="Calibri" w:cs="Calibri"/>
                <w:color w:val="000000"/>
                <w:sz w:val="22"/>
                <w:szCs w:val="22"/>
              </w:rPr>
            </w:pPr>
            <w:r w:rsidRPr="00615810">
              <w:rPr>
                <w:rFonts w:ascii="Calibri" w:hAnsi="Calibri" w:cs="Calibri"/>
                <w:color w:val="000000"/>
                <w:sz w:val="22"/>
                <w:szCs w:val="22"/>
              </w:rPr>
              <w:t>137,84</w:t>
            </w:r>
            <w:r>
              <w:rPr>
                <w:rFonts w:ascii="Calibri" w:hAnsi="Calibri" w:cs="Calibri"/>
                <w:color w:val="000000"/>
              </w:rPr>
              <w:t xml:space="preserve"> %</w:t>
            </w:r>
          </w:p>
        </w:tc>
      </w:tr>
      <w:tr w:rsidR="00C2352F" w:rsidRPr="0049603C" w14:paraId="77BCD24A" w14:textId="77777777" w:rsidTr="003B54F4">
        <w:trPr>
          <w:trHeight w:val="224"/>
        </w:trPr>
        <w:tc>
          <w:tcPr>
            <w:tcW w:w="1209" w:type="dxa"/>
            <w:tcBorders>
              <w:top w:val="nil"/>
              <w:left w:val="nil"/>
              <w:bottom w:val="nil"/>
              <w:right w:val="nil"/>
            </w:tcBorders>
            <w:shd w:val="clear" w:color="auto" w:fill="auto"/>
            <w:noWrap/>
            <w:vAlign w:val="bottom"/>
          </w:tcPr>
          <w:p w14:paraId="02710DEA" w14:textId="77777777" w:rsidR="00C2352F" w:rsidRDefault="00C2352F" w:rsidP="00201B2B">
            <w:pPr>
              <w:overflowPunct/>
              <w:autoSpaceDE/>
              <w:autoSpaceDN/>
              <w:adjustRightInd/>
              <w:textAlignment w:val="auto"/>
              <w:rPr>
                <w:sz w:val="24"/>
                <w:szCs w:val="24"/>
              </w:rPr>
            </w:pPr>
          </w:p>
          <w:p w14:paraId="22B389C2" w14:textId="6345A8FE" w:rsidR="00F94E1D" w:rsidRPr="0049603C" w:rsidRDefault="00F94E1D" w:rsidP="00201B2B">
            <w:pPr>
              <w:overflowPunct/>
              <w:autoSpaceDE/>
              <w:autoSpaceDN/>
              <w:adjustRightInd/>
              <w:textAlignment w:val="auto"/>
              <w:rPr>
                <w:sz w:val="24"/>
                <w:szCs w:val="24"/>
              </w:rPr>
            </w:pPr>
          </w:p>
        </w:tc>
        <w:tc>
          <w:tcPr>
            <w:tcW w:w="1212" w:type="dxa"/>
            <w:gridSpan w:val="3"/>
            <w:tcBorders>
              <w:top w:val="nil"/>
              <w:left w:val="nil"/>
              <w:bottom w:val="nil"/>
              <w:right w:val="nil"/>
            </w:tcBorders>
            <w:shd w:val="clear" w:color="auto" w:fill="auto"/>
            <w:noWrap/>
            <w:vAlign w:val="bottom"/>
          </w:tcPr>
          <w:p w14:paraId="5CB89631"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tcPr>
          <w:p w14:paraId="3066B0EA" w14:textId="77777777" w:rsidR="00C2352F" w:rsidRPr="0049603C" w:rsidRDefault="00C2352F" w:rsidP="00201B2B">
            <w:pPr>
              <w:overflowPunct/>
              <w:autoSpaceDE/>
              <w:autoSpaceDN/>
              <w:adjustRightInd/>
              <w:textAlignment w:val="auto"/>
            </w:pPr>
          </w:p>
        </w:tc>
        <w:tc>
          <w:tcPr>
            <w:tcW w:w="1212" w:type="dxa"/>
            <w:gridSpan w:val="2"/>
            <w:tcBorders>
              <w:top w:val="nil"/>
              <w:left w:val="nil"/>
              <w:bottom w:val="nil"/>
              <w:right w:val="nil"/>
            </w:tcBorders>
            <w:shd w:val="clear" w:color="auto" w:fill="auto"/>
            <w:noWrap/>
            <w:vAlign w:val="bottom"/>
          </w:tcPr>
          <w:p w14:paraId="62367C67" w14:textId="77777777" w:rsidR="00F94E1D" w:rsidRDefault="00F94E1D" w:rsidP="00201B2B">
            <w:pPr>
              <w:overflowPunct/>
              <w:autoSpaceDE/>
              <w:autoSpaceDN/>
              <w:adjustRightInd/>
              <w:textAlignment w:val="auto"/>
            </w:pPr>
          </w:p>
          <w:p w14:paraId="1220CD9F" w14:textId="77777777" w:rsidR="00D55EDB" w:rsidRDefault="00D55EDB" w:rsidP="00201B2B">
            <w:pPr>
              <w:overflowPunct/>
              <w:autoSpaceDE/>
              <w:autoSpaceDN/>
              <w:adjustRightInd/>
              <w:textAlignment w:val="auto"/>
            </w:pPr>
          </w:p>
          <w:p w14:paraId="6FA05FE3" w14:textId="77777777" w:rsidR="009A4C41" w:rsidRDefault="009A4C41" w:rsidP="00201B2B">
            <w:pPr>
              <w:overflowPunct/>
              <w:autoSpaceDE/>
              <w:autoSpaceDN/>
              <w:adjustRightInd/>
              <w:textAlignment w:val="auto"/>
            </w:pPr>
          </w:p>
          <w:p w14:paraId="3C517A59" w14:textId="77777777" w:rsidR="009A4C41" w:rsidRDefault="009A4C41" w:rsidP="00201B2B">
            <w:pPr>
              <w:overflowPunct/>
              <w:autoSpaceDE/>
              <w:autoSpaceDN/>
              <w:adjustRightInd/>
              <w:textAlignment w:val="auto"/>
            </w:pPr>
          </w:p>
          <w:p w14:paraId="4CB680C8" w14:textId="77777777" w:rsidR="00D55EDB" w:rsidRDefault="00D55EDB" w:rsidP="00201B2B">
            <w:pPr>
              <w:overflowPunct/>
              <w:autoSpaceDE/>
              <w:autoSpaceDN/>
              <w:adjustRightInd/>
              <w:textAlignment w:val="auto"/>
            </w:pPr>
          </w:p>
          <w:p w14:paraId="4AFCA6D9" w14:textId="77777777" w:rsidR="00D55EDB" w:rsidRDefault="00D55EDB" w:rsidP="00201B2B">
            <w:pPr>
              <w:overflowPunct/>
              <w:autoSpaceDE/>
              <w:autoSpaceDN/>
              <w:adjustRightInd/>
              <w:textAlignment w:val="auto"/>
            </w:pPr>
          </w:p>
          <w:p w14:paraId="6E9DD60D" w14:textId="727088A1" w:rsidR="00C2352F" w:rsidRPr="0049603C" w:rsidRDefault="00C2352F" w:rsidP="00201B2B">
            <w:pPr>
              <w:overflowPunct/>
              <w:autoSpaceDE/>
              <w:autoSpaceDN/>
              <w:adjustRightInd/>
              <w:textAlignment w:val="auto"/>
            </w:pPr>
            <w:r w:rsidRPr="0049603C">
              <w:rPr>
                <w:rFonts w:ascii="Calibri" w:hAnsi="Calibri" w:cs="Calibri"/>
                <w:noProof/>
                <w:color w:val="000000"/>
                <w:sz w:val="22"/>
                <w:szCs w:val="22"/>
              </w:rPr>
              <w:drawing>
                <wp:anchor distT="0" distB="0" distL="114300" distR="114300" simplePos="0" relativeHeight="251661312" behindDoc="0" locked="0" layoutInCell="1" allowOverlap="1" wp14:anchorId="2FEC4D59" wp14:editId="5785CF36">
                  <wp:simplePos x="0" y="0"/>
                  <wp:positionH relativeFrom="column">
                    <wp:posOffset>-1896745</wp:posOffset>
                  </wp:positionH>
                  <wp:positionV relativeFrom="paragraph">
                    <wp:posOffset>83820</wp:posOffset>
                  </wp:positionV>
                  <wp:extent cx="4587240" cy="2654300"/>
                  <wp:effectExtent l="0" t="0" r="3810" b="12700"/>
                  <wp:wrapNone/>
                  <wp:docPr id="1" name="Diagramm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1212" w:type="dxa"/>
            <w:tcBorders>
              <w:top w:val="nil"/>
              <w:left w:val="nil"/>
              <w:bottom w:val="nil"/>
              <w:right w:val="nil"/>
            </w:tcBorders>
            <w:shd w:val="clear" w:color="auto" w:fill="auto"/>
            <w:noWrap/>
            <w:vAlign w:val="bottom"/>
          </w:tcPr>
          <w:p w14:paraId="382990C8"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tcPr>
          <w:p w14:paraId="2DA41D67" w14:textId="77777777" w:rsidR="00C2352F" w:rsidRPr="0049603C" w:rsidRDefault="00C2352F" w:rsidP="00201B2B">
            <w:pPr>
              <w:overflowPunct/>
              <w:autoSpaceDE/>
              <w:autoSpaceDN/>
              <w:adjustRightInd/>
              <w:textAlignment w:val="auto"/>
            </w:pPr>
          </w:p>
        </w:tc>
        <w:tc>
          <w:tcPr>
            <w:tcW w:w="1213" w:type="dxa"/>
            <w:tcBorders>
              <w:top w:val="nil"/>
              <w:left w:val="nil"/>
              <w:bottom w:val="nil"/>
              <w:right w:val="nil"/>
            </w:tcBorders>
            <w:shd w:val="clear" w:color="auto" w:fill="auto"/>
            <w:noWrap/>
            <w:vAlign w:val="bottom"/>
          </w:tcPr>
          <w:p w14:paraId="0C08BC9B" w14:textId="77777777" w:rsidR="00C2352F" w:rsidRPr="0049603C" w:rsidRDefault="00C2352F" w:rsidP="00201B2B">
            <w:pPr>
              <w:overflowPunct/>
              <w:autoSpaceDE/>
              <w:autoSpaceDN/>
              <w:adjustRightInd/>
              <w:textAlignment w:val="auto"/>
            </w:pPr>
          </w:p>
        </w:tc>
        <w:tc>
          <w:tcPr>
            <w:tcW w:w="1209" w:type="dxa"/>
            <w:tcBorders>
              <w:top w:val="nil"/>
              <w:left w:val="nil"/>
              <w:bottom w:val="nil"/>
              <w:right w:val="nil"/>
            </w:tcBorders>
            <w:shd w:val="clear" w:color="auto" w:fill="auto"/>
            <w:noWrap/>
            <w:vAlign w:val="bottom"/>
          </w:tcPr>
          <w:p w14:paraId="46384506" w14:textId="77777777" w:rsidR="00C2352F" w:rsidRPr="0049603C" w:rsidRDefault="00C2352F" w:rsidP="00201B2B">
            <w:pPr>
              <w:overflowPunct/>
              <w:autoSpaceDE/>
              <w:autoSpaceDN/>
              <w:adjustRightInd/>
              <w:textAlignment w:val="auto"/>
            </w:pPr>
          </w:p>
        </w:tc>
      </w:tr>
      <w:tr w:rsidR="00C2352F" w:rsidRPr="0049603C" w14:paraId="50AB74A4" w14:textId="77777777" w:rsidTr="003B54F4">
        <w:trPr>
          <w:trHeight w:val="224"/>
        </w:trPr>
        <w:tc>
          <w:tcPr>
            <w:tcW w:w="1209" w:type="dxa"/>
            <w:tcBorders>
              <w:top w:val="nil"/>
              <w:left w:val="nil"/>
              <w:bottom w:val="nil"/>
              <w:right w:val="nil"/>
            </w:tcBorders>
            <w:shd w:val="clear" w:color="auto" w:fill="auto"/>
            <w:noWrap/>
            <w:vAlign w:val="bottom"/>
          </w:tcPr>
          <w:p w14:paraId="21DC5C4B" w14:textId="77777777" w:rsidR="00C2352F" w:rsidRPr="0049603C" w:rsidRDefault="00C2352F" w:rsidP="00201B2B">
            <w:pPr>
              <w:overflowPunct/>
              <w:autoSpaceDE/>
              <w:autoSpaceDN/>
              <w:adjustRightInd/>
              <w:textAlignment w:val="auto"/>
            </w:pPr>
          </w:p>
        </w:tc>
        <w:tc>
          <w:tcPr>
            <w:tcW w:w="1212" w:type="dxa"/>
            <w:gridSpan w:val="3"/>
            <w:tcBorders>
              <w:top w:val="nil"/>
              <w:left w:val="nil"/>
              <w:bottom w:val="nil"/>
              <w:right w:val="nil"/>
            </w:tcBorders>
            <w:shd w:val="clear" w:color="auto" w:fill="auto"/>
            <w:noWrap/>
            <w:vAlign w:val="bottom"/>
          </w:tcPr>
          <w:p w14:paraId="1DCD6305"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tcPr>
          <w:p w14:paraId="6B5C6C03" w14:textId="77777777" w:rsidR="00C2352F" w:rsidRPr="0049603C" w:rsidRDefault="00C2352F" w:rsidP="00201B2B">
            <w:pPr>
              <w:overflowPunct/>
              <w:autoSpaceDE/>
              <w:autoSpaceDN/>
              <w:adjustRightInd/>
              <w:textAlignment w:val="auto"/>
            </w:pPr>
          </w:p>
        </w:tc>
        <w:tc>
          <w:tcPr>
            <w:tcW w:w="1212" w:type="dxa"/>
            <w:gridSpan w:val="2"/>
            <w:tcBorders>
              <w:top w:val="nil"/>
              <w:left w:val="nil"/>
              <w:bottom w:val="nil"/>
              <w:right w:val="nil"/>
            </w:tcBorders>
            <w:shd w:val="clear" w:color="auto" w:fill="auto"/>
            <w:noWrap/>
            <w:vAlign w:val="bottom"/>
          </w:tcPr>
          <w:p w14:paraId="53A8ADF1"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tcPr>
          <w:p w14:paraId="0925E453"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tcPr>
          <w:p w14:paraId="0DB4FB9A" w14:textId="77777777" w:rsidR="00C2352F" w:rsidRPr="0049603C" w:rsidRDefault="00C2352F" w:rsidP="00201B2B">
            <w:pPr>
              <w:overflowPunct/>
              <w:autoSpaceDE/>
              <w:autoSpaceDN/>
              <w:adjustRightInd/>
              <w:textAlignment w:val="auto"/>
            </w:pPr>
          </w:p>
        </w:tc>
        <w:tc>
          <w:tcPr>
            <w:tcW w:w="1213" w:type="dxa"/>
            <w:tcBorders>
              <w:top w:val="nil"/>
              <w:left w:val="nil"/>
              <w:bottom w:val="nil"/>
              <w:right w:val="nil"/>
            </w:tcBorders>
            <w:shd w:val="clear" w:color="auto" w:fill="auto"/>
            <w:noWrap/>
            <w:vAlign w:val="bottom"/>
          </w:tcPr>
          <w:p w14:paraId="7325064E" w14:textId="77777777" w:rsidR="00C2352F" w:rsidRPr="0049603C" w:rsidRDefault="00C2352F" w:rsidP="00201B2B">
            <w:pPr>
              <w:overflowPunct/>
              <w:autoSpaceDE/>
              <w:autoSpaceDN/>
              <w:adjustRightInd/>
              <w:textAlignment w:val="auto"/>
            </w:pPr>
          </w:p>
        </w:tc>
        <w:tc>
          <w:tcPr>
            <w:tcW w:w="1209" w:type="dxa"/>
            <w:tcBorders>
              <w:top w:val="nil"/>
              <w:left w:val="nil"/>
              <w:bottom w:val="nil"/>
              <w:right w:val="nil"/>
            </w:tcBorders>
            <w:shd w:val="clear" w:color="auto" w:fill="auto"/>
            <w:noWrap/>
            <w:vAlign w:val="bottom"/>
          </w:tcPr>
          <w:p w14:paraId="6E6FC37D" w14:textId="77777777" w:rsidR="00C2352F" w:rsidRPr="0049603C" w:rsidRDefault="00C2352F" w:rsidP="00201B2B">
            <w:pPr>
              <w:overflowPunct/>
              <w:autoSpaceDE/>
              <w:autoSpaceDN/>
              <w:adjustRightInd/>
              <w:textAlignment w:val="auto"/>
            </w:pPr>
          </w:p>
        </w:tc>
      </w:tr>
      <w:tr w:rsidR="00C2352F" w:rsidRPr="0049603C" w14:paraId="067FF88F" w14:textId="77777777" w:rsidTr="003B54F4">
        <w:trPr>
          <w:trHeight w:val="224"/>
        </w:trPr>
        <w:tc>
          <w:tcPr>
            <w:tcW w:w="1209" w:type="dxa"/>
            <w:tcBorders>
              <w:top w:val="nil"/>
              <w:left w:val="nil"/>
              <w:bottom w:val="nil"/>
              <w:right w:val="nil"/>
            </w:tcBorders>
            <w:shd w:val="clear" w:color="auto" w:fill="auto"/>
            <w:noWrap/>
            <w:vAlign w:val="bottom"/>
          </w:tcPr>
          <w:p w14:paraId="5CA69683" w14:textId="77777777" w:rsidR="00C2352F" w:rsidRPr="0049603C" w:rsidRDefault="00C2352F" w:rsidP="00201B2B">
            <w:pPr>
              <w:overflowPunct/>
              <w:autoSpaceDE/>
              <w:autoSpaceDN/>
              <w:adjustRightInd/>
              <w:textAlignment w:val="auto"/>
            </w:pPr>
          </w:p>
        </w:tc>
        <w:tc>
          <w:tcPr>
            <w:tcW w:w="7277" w:type="dxa"/>
            <w:gridSpan w:val="9"/>
            <w:vMerge w:val="restart"/>
            <w:tcBorders>
              <w:top w:val="nil"/>
              <w:left w:val="nil"/>
              <w:bottom w:val="nil"/>
              <w:right w:val="nil"/>
            </w:tcBorders>
            <w:shd w:val="clear" w:color="auto" w:fill="auto"/>
            <w:noWrap/>
            <w:vAlign w:val="bottom"/>
          </w:tcPr>
          <w:p w14:paraId="7DE8FEBF"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6E81D973"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r>
      <w:tr w:rsidR="00C2352F" w:rsidRPr="0049603C" w14:paraId="2D113687" w14:textId="77777777" w:rsidTr="003B54F4">
        <w:trPr>
          <w:trHeight w:val="224"/>
        </w:trPr>
        <w:tc>
          <w:tcPr>
            <w:tcW w:w="1209" w:type="dxa"/>
            <w:tcBorders>
              <w:top w:val="nil"/>
              <w:left w:val="nil"/>
              <w:bottom w:val="nil"/>
              <w:right w:val="nil"/>
            </w:tcBorders>
            <w:shd w:val="clear" w:color="auto" w:fill="auto"/>
            <w:noWrap/>
            <w:vAlign w:val="bottom"/>
          </w:tcPr>
          <w:p w14:paraId="766F2916"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tcPr>
          <w:p w14:paraId="21883877"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01EAF04C" w14:textId="77777777" w:rsidR="00C2352F" w:rsidRPr="0049603C" w:rsidRDefault="00C2352F" w:rsidP="00201B2B">
            <w:pPr>
              <w:overflowPunct/>
              <w:autoSpaceDE/>
              <w:autoSpaceDN/>
              <w:adjustRightInd/>
              <w:textAlignment w:val="auto"/>
            </w:pPr>
          </w:p>
        </w:tc>
      </w:tr>
      <w:tr w:rsidR="00C2352F" w:rsidRPr="0049603C" w14:paraId="6260418B" w14:textId="77777777" w:rsidTr="003B54F4">
        <w:trPr>
          <w:trHeight w:val="224"/>
        </w:trPr>
        <w:tc>
          <w:tcPr>
            <w:tcW w:w="1209" w:type="dxa"/>
            <w:tcBorders>
              <w:top w:val="nil"/>
              <w:left w:val="nil"/>
              <w:bottom w:val="nil"/>
              <w:right w:val="nil"/>
            </w:tcBorders>
            <w:shd w:val="clear" w:color="auto" w:fill="auto"/>
            <w:noWrap/>
            <w:vAlign w:val="bottom"/>
          </w:tcPr>
          <w:p w14:paraId="0865A540"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tcPr>
          <w:p w14:paraId="3E814850"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00C00A85" w14:textId="77777777" w:rsidR="00C2352F" w:rsidRPr="0049603C" w:rsidRDefault="00C2352F" w:rsidP="00201B2B">
            <w:pPr>
              <w:overflowPunct/>
              <w:autoSpaceDE/>
              <w:autoSpaceDN/>
              <w:adjustRightInd/>
              <w:textAlignment w:val="auto"/>
            </w:pPr>
          </w:p>
        </w:tc>
      </w:tr>
      <w:tr w:rsidR="00C2352F" w:rsidRPr="0049603C" w14:paraId="344E60A2" w14:textId="77777777" w:rsidTr="003B54F4">
        <w:trPr>
          <w:trHeight w:val="224"/>
        </w:trPr>
        <w:tc>
          <w:tcPr>
            <w:tcW w:w="1209" w:type="dxa"/>
            <w:tcBorders>
              <w:top w:val="nil"/>
              <w:left w:val="nil"/>
              <w:bottom w:val="nil"/>
              <w:right w:val="nil"/>
            </w:tcBorders>
            <w:shd w:val="clear" w:color="auto" w:fill="auto"/>
            <w:noWrap/>
            <w:vAlign w:val="bottom"/>
          </w:tcPr>
          <w:p w14:paraId="21BF584D"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44AB4901"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7A1C8CB1" w14:textId="77777777" w:rsidR="00C2352F" w:rsidRPr="0049603C" w:rsidRDefault="00C2352F" w:rsidP="00201B2B">
            <w:pPr>
              <w:overflowPunct/>
              <w:autoSpaceDE/>
              <w:autoSpaceDN/>
              <w:adjustRightInd/>
              <w:textAlignment w:val="auto"/>
            </w:pPr>
          </w:p>
        </w:tc>
      </w:tr>
      <w:tr w:rsidR="00C2352F" w:rsidRPr="0049603C" w14:paraId="5F15EED5" w14:textId="77777777" w:rsidTr="003B54F4">
        <w:trPr>
          <w:gridAfter w:val="1"/>
          <w:wAfter w:w="1209" w:type="dxa"/>
          <w:trHeight w:val="224"/>
        </w:trPr>
        <w:tc>
          <w:tcPr>
            <w:tcW w:w="1209" w:type="dxa"/>
            <w:tcBorders>
              <w:top w:val="nil"/>
              <w:left w:val="nil"/>
              <w:bottom w:val="nil"/>
              <w:right w:val="nil"/>
            </w:tcBorders>
            <w:shd w:val="clear" w:color="auto" w:fill="auto"/>
            <w:noWrap/>
            <w:vAlign w:val="bottom"/>
          </w:tcPr>
          <w:p w14:paraId="3DDDE3EB"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047D89A3"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r>
      <w:tr w:rsidR="00C2352F" w:rsidRPr="0049603C" w14:paraId="5FE5AE38" w14:textId="77777777" w:rsidTr="003B54F4">
        <w:trPr>
          <w:trHeight w:val="224"/>
        </w:trPr>
        <w:tc>
          <w:tcPr>
            <w:tcW w:w="1209" w:type="dxa"/>
            <w:tcBorders>
              <w:top w:val="nil"/>
              <w:left w:val="nil"/>
              <w:bottom w:val="nil"/>
              <w:right w:val="nil"/>
            </w:tcBorders>
            <w:shd w:val="clear" w:color="auto" w:fill="auto"/>
            <w:noWrap/>
            <w:vAlign w:val="bottom"/>
          </w:tcPr>
          <w:p w14:paraId="67783931"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0A370883"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7C4E38CB" w14:textId="77777777" w:rsidR="00C2352F" w:rsidRPr="0049603C" w:rsidRDefault="00C2352F" w:rsidP="00201B2B">
            <w:pPr>
              <w:overflowPunct/>
              <w:autoSpaceDE/>
              <w:autoSpaceDN/>
              <w:adjustRightInd/>
              <w:textAlignment w:val="auto"/>
            </w:pPr>
          </w:p>
        </w:tc>
      </w:tr>
      <w:tr w:rsidR="00C2352F" w:rsidRPr="0049603C" w14:paraId="1DB86448" w14:textId="77777777" w:rsidTr="003B54F4">
        <w:trPr>
          <w:trHeight w:val="224"/>
        </w:trPr>
        <w:tc>
          <w:tcPr>
            <w:tcW w:w="1209" w:type="dxa"/>
            <w:tcBorders>
              <w:top w:val="nil"/>
              <w:left w:val="nil"/>
              <w:bottom w:val="nil"/>
              <w:right w:val="nil"/>
            </w:tcBorders>
            <w:shd w:val="clear" w:color="auto" w:fill="auto"/>
            <w:noWrap/>
            <w:vAlign w:val="bottom"/>
          </w:tcPr>
          <w:p w14:paraId="09597888"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4871B93F"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4DDC766F" w14:textId="77777777" w:rsidR="00C2352F" w:rsidRPr="0049603C" w:rsidRDefault="00C2352F" w:rsidP="00201B2B">
            <w:pPr>
              <w:overflowPunct/>
              <w:autoSpaceDE/>
              <w:autoSpaceDN/>
              <w:adjustRightInd/>
              <w:textAlignment w:val="auto"/>
            </w:pPr>
          </w:p>
        </w:tc>
      </w:tr>
      <w:tr w:rsidR="00C2352F" w:rsidRPr="0049603C" w14:paraId="592E63CD" w14:textId="77777777" w:rsidTr="003B54F4">
        <w:trPr>
          <w:trHeight w:val="224"/>
        </w:trPr>
        <w:tc>
          <w:tcPr>
            <w:tcW w:w="1209" w:type="dxa"/>
            <w:tcBorders>
              <w:top w:val="nil"/>
              <w:left w:val="nil"/>
              <w:bottom w:val="nil"/>
              <w:right w:val="nil"/>
            </w:tcBorders>
            <w:shd w:val="clear" w:color="auto" w:fill="auto"/>
            <w:noWrap/>
            <w:vAlign w:val="bottom"/>
          </w:tcPr>
          <w:p w14:paraId="45EBDD78"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049C3118"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771419CA" w14:textId="77777777" w:rsidR="00C2352F" w:rsidRPr="0049603C" w:rsidRDefault="00C2352F" w:rsidP="00201B2B">
            <w:pPr>
              <w:overflowPunct/>
              <w:autoSpaceDE/>
              <w:autoSpaceDN/>
              <w:adjustRightInd/>
              <w:textAlignment w:val="auto"/>
            </w:pPr>
          </w:p>
        </w:tc>
      </w:tr>
      <w:tr w:rsidR="00C2352F" w:rsidRPr="0049603C" w14:paraId="793EB7F3" w14:textId="77777777" w:rsidTr="003B54F4">
        <w:trPr>
          <w:trHeight w:val="224"/>
        </w:trPr>
        <w:tc>
          <w:tcPr>
            <w:tcW w:w="1209" w:type="dxa"/>
            <w:tcBorders>
              <w:top w:val="nil"/>
              <w:left w:val="nil"/>
              <w:bottom w:val="nil"/>
              <w:right w:val="nil"/>
            </w:tcBorders>
            <w:shd w:val="clear" w:color="auto" w:fill="auto"/>
            <w:noWrap/>
            <w:vAlign w:val="bottom"/>
          </w:tcPr>
          <w:p w14:paraId="63B78E68"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13DF0AF1"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6EB38D40" w14:textId="77777777" w:rsidR="00C2352F" w:rsidRPr="0049603C" w:rsidRDefault="00C2352F" w:rsidP="00201B2B">
            <w:pPr>
              <w:overflowPunct/>
              <w:autoSpaceDE/>
              <w:autoSpaceDN/>
              <w:adjustRightInd/>
              <w:textAlignment w:val="auto"/>
            </w:pPr>
          </w:p>
        </w:tc>
      </w:tr>
      <w:tr w:rsidR="00C2352F" w:rsidRPr="0049603C" w14:paraId="01D15981" w14:textId="77777777" w:rsidTr="003B54F4">
        <w:trPr>
          <w:trHeight w:val="224"/>
        </w:trPr>
        <w:tc>
          <w:tcPr>
            <w:tcW w:w="1209" w:type="dxa"/>
            <w:tcBorders>
              <w:top w:val="nil"/>
              <w:left w:val="nil"/>
              <w:bottom w:val="nil"/>
              <w:right w:val="nil"/>
            </w:tcBorders>
            <w:shd w:val="clear" w:color="auto" w:fill="auto"/>
            <w:noWrap/>
            <w:vAlign w:val="bottom"/>
          </w:tcPr>
          <w:p w14:paraId="7623CE19"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56A699C7"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50665B82" w14:textId="77777777" w:rsidR="00C2352F" w:rsidRPr="0049603C" w:rsidRDefault="00C2352F" w:rsidP="00201B2B">
            <w:pPr>
              <w:overflowPunct/>
              <w:autoSpaceDE/>
              <w:autoSpaceDN/>
              <w:adjustRightInd/>
              <w:textAlignment w:val="auto"/>
            </w:pPr>
          </w:p>
        </w:tc>
      </w:tr>
      <w:tr w:rsidR="00C2352F" w:rsidRPr="0049603C" w14:paraId="5B05B0D8" w14:textId="77777777" w:rsidTr="003B54F4">
        <w:trPr>
          <w:trHeight w:val="224"/>
        </w:trPr>
        <w:tc>
          <w:tcPr>
            <w:tcW w:w="1209" w:type="dxa"/>
            <w:tcBorders>
              <w:top w:val="nil"/>
              <w:left w:val="nil"/>
              <w:bottom w:val="nil"/>
              <w:right w:val="nil"/>
            </w:tcBorders>
            <w:shd w:val="clear" w:color="auto" w:fill="auto"/>
            <w:noWrap/>
            <w:vAlign w:val="bottom"/>
          </w:tcPr>
          <w:p w14:paraId="57636415"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1B0358A5"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6A6C6258" w14:textId="77777777" w:rsidR="00C2352F" w:rsidRPr="0049603C" w:rsidRDefault="00C2352F" w:rsidP="00201B2B">
            <w:pPr>
              <w:overflowPunct/>
              <w:autoSpaceDE/>
              <w:autoSpaceDN/>
              <w:adjustRightInd/>
              <w:textAlignment w:val="auto"/>
            </w:pPr>
          </w:p>
        </w:tc>
      </w:tr>
      <w:tr w:rsidR="00C2352F" w:rsidRPr="0049603C" w14:paraId="7F89B5E5" w14:textId="77777777" w:rsidTr="003B54F4">
        <w:trPr>
          <w:trHeight w:val="224"/>
        </w:trPr>
        <w:tc>
          <w:tcPr>
            <w:tcW w:w="1209" w:type="dxa"/>
            <w:tcBorders>
              <w:top w:val="nil"/>
              <w:left w:val="nil"/>
              <w:bottom w:val="nil"/>
              <w:right w:val="nil"/>
            </w:tcBorders>
            <w:shd w:val="clear" w:color="auto" w:fill="auto"/>
            <w:noWrap/>
            <w:vAlign w:val="bottom"/>
          </w:tcPr>
          <w:p w14:paraId="045E375F"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2D7EF661"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7ABEA9EC" w14:textId="77777777" w:rsidR="00C2352F" w:rsidRPr="0049603C" w:rsidRDefault="00C2352F" w:rsidP="00201B2B">
            <w:pPr>
              <w:overflowPunct/>
              <w:autoSpaceDE/>
              <w:autoSpaceDN/>
              <w:adjustRightInd/>
              <w:textAlignment w:val="auto"/>
            </w:pPr>
          </w:p>
        </w:tc>
      </w:tr>
      <w:tr w:rsidR="00C2352F" w:rsidRPr="0049603C" w14:paraId="737B5C85" w14:textId="77777777" w:rsidTr="003B54F4">
        <w:trPr>
          <w:trHeight w:val="224"/>
        </w:trPr>
        <w:tc>
          <w:tcPr>
            <w:tcW w:w="1209" w:type="dxa"/>
            <w:tcBorders>
              <w:top w:val="nil"/>
              <w:left w:val="nil"/>
              <w:bottom w:val="nil"/>
              <w:right w:val="nil"/>
            </w:tcBorders>
            <w:shd w:val="clear" w:color="auto" w:fill="auto"/>
            <w:noWrap/>
            <w:vAlign w:val="bottom"/>
          </w:tcPr>
          <w:p w14:paraId="6114196F"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5B20B248"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106450C5" w14:textId="77777777" w:rsidR="00C2352F" w:rsidRPr="0049603C" w:rsidRDefault="00C2352F" w:rsidP="00201B2B">
            <w:pPr>
              <w:overflowPunct/>
              <w:autoSpaceDE/>
              <w:autoSpaceDN/>
              <w:adjustRightInd/>
              <w:textAlignment w:val="auto"/>
            </w:pPr>
          </w:p>
        </w:tc>
      </w:tr>
      <w:tr w:rsidR="00C2352F" w:rsidRPr="0049603C" w14:paraId="4925ED66" w14:textId="77777777" w:rsidTr="003B54F4">
        <w:trPr>
          <w:trHeight w:val="234"/>
        </w:trPr>
        <w:tc>
          <w:tcPr>
            <w:tcW w:w="1209" w:type="dxa"/>
            <w:tcBorders>
              <w:top w:val="nil"/>
              <w:left w:val="nil"/>
              <w:bottom w:val="nil"/>
              <w:right w:val="nil"/>
            </w:tcBorders>
            <w:shd w:val="clear" w:color="auto" w:fill="auto"/>
            <w:noWrap/>
            <w:vAlign w:val="bottom"/>
          </w:tcPr>
          <w:p w14:paraId="5E995B0B"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3C46913C"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7A3E7546" w14:textId="77777777" w:rsidR="00C2352F" w:rsidRPr="0049603C" w:rsidRDefault="00C2352F" w:rsidP="00201B2B">
            <w:pPr>
              <w:overflowPunct/>
              <w:autoSpaceDE/>
              <w:autoSpaceDN/>
              <w:adjustRightInd/>
              <w:textAlignment w:val="auto"/>
            </w:pPr>
          </w:p>
        </w:tc>
      </w:tr>
      <w:tr w:rsidR="00C2352F" w:rsidRPr="0049603C" w14:paraId="05D7304B" w14:textId="77777777" w:rsidTr="003B54F4">
        <w:trPr>
          <w:trHeight w:val="234"/>
        </w:trPr>
        <w:tc>
          <w:tcPr>
            <w:tcW w:w="1209" w:type="dxa"/>
            <w:tcBorders>
              <w:top w:val="nil"/>
              <w:left w:val="nil"/>
              <w:bottom w:val="nil"/>
              <w:right w:val="nil"/>
            </w:tcBorders>
            <w:shd w:val="clear" w:color="auto" w:fill="auto"/>
            <w:noWrap/>
            <w:vAlign w:val="bottom"/>
          </w:tcPr>
          <w:p w14:paraId="4F113C58"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6344D116"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62162004" w14:textId="77777777" w:rsidR="00C2352F" w:rsidRPr="0049603C" w:rsidRDefault="00C2352F" w:rsidP="00201B2B">
            <w:pPr>
              <w:overflowPunct/>
              <w:autoSpaceDE/>
              <w:autoSpaceDN/>
              <w:adjustRightInd/>
              <w:textAlignment w:val="auto"/>
            </w:pPr>
          </w:p>
        </w:tc>
      </w:tr>
      <w:tr w:rsidR="00C2352F" w:rsidRPr="0049603C" w14:paraId="09B3CFBC" w14:textId="77777777" w:rsidTr="003B54F4">
        <w:trPr>
          <w:trHeight w:val="224"/>
        </w:trPr>
        <w:tc>
          <w:tcPr>
            <w:tcW w:w="1209" w:type="dxa"/>
            <w:tcBorders>
              <w:top w:val="nil"/>
              <w:left w:val="nil"/>
              <w:bottom w:val="nil"/>
              <w:right w:val="nil"/>
            </w:tcBorders>
            <w:shd w:val="clear" w:color="auto" w:fill="auto"/>
            <w:noWrap/>
            <w:vAlign w:val="bottom"/>
          </w:tcPr>
          <w:p w14:paraId="2B6463DF" w14:textId="77777777" w:rsidR="00C2352F" w:rsidRPr="0049603C" w:rsidRDefault="00C2352F" w:rsidP="00201B2B">
            <w:pPr>
              <w:overflowPunct/>
              <w:autoSpaceDE/>
              <w:autoSpaceDN/>
              <w:adjustRightInd/>
              <w:textAlignment w:val="auto"/>
            </w:pPr>
          </w:p>
        </w:tc>
        <w:tc>
          <w:tcPr>
            <w:tcW w:w="7277" w:type="dxa"/>
            <w:gridSpan w:val="9"/>
            <w:vMerge/>
            <w:tcBorders>
              <w:top w:val="nil"/>
              <w:left w:val="nil"/>
              <w:bottom w:val="nil"/>
              <w:right w:val="nil"/>
            </w:tcBorders>
            <w:vAlign w:val="center"/>
            <w:hideMark/>
          </w:tcPr>
          <w:p w14:paraId="45582572" w14:textId="77777777" w:rsidR="00C2352F" w:rsidRPr="0049603C" w:rsidRDefault="00C2352F" w:rsidP="00201B2B">
            <w:pPr>
              <w:overflowPunct/>
              <w:autoSpaceDE/>
              <w:autoSpaceDN/>
              <w:adjustRightInd/>
              <w:textAlignment w:val="auto"/>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tcPr>
          <w:p w14:paraId="61A17289" w14:textId="77777777" w:rsidR="00C2352F" w:rsidRPr="0049603C" w:rsidRDefault="00C2352F" w:rsidP="00201B2B">
            <w:pPr>
              <w:overflowPunct/>
              <w:autoSpaceDE/>
              <w:autoSpaceDN/>
              <w:adjustRightInd/>
              <w:textAlignment w:val="auto"/>
            </w:pPr>
          </w:p>
        </w:tc>
      </w:tr>
      <w:tr w:rsidR="00C2352F" w:rsidRPr="0049603C" w14:paraId="10BA4E00" w14:textId="77777777" w:rsidTr="003B54F4">
        <w:trPr>
          <w:trHeight w:val="224"/>
        </w:trPr>
        <w:tc>
          <w:tcPr>
            <w:tcW w:w="1209" w:type="dxa"/>
            <w:tcBorders>
              <w:top w:val="nil"/>
              <w:left w:val="nil"/>
              <w:bottom w:val="nil"/>
              <w:right w:val="nil"/>
            </w:tcBorders>
            <w:shd w:val="clear" w:color="auto" w:fill="auto"/>
            <w:noWrap/>
            <w:vAlign w:val="bottom"/>
          </w:tcPr>
          <w:p w14:paraId="52350A3B" w14:textId="77777777" w:rsidR="00C2352F" w:rsidRPr="0049603C" w:rsidRDefault="00C2352F" w:rsidP="00201B2B">
            <w:pPr>
              <w:overflowPunct/>
              <w:autoSpaceDE/>
              <w:autoSpaceDN/>
              <w:adjustRightInd/>
              <w:textAlignment w:val="auto"/>
            </w:pPr>
          </w:p>
        </w:tc>
        <w:tc>
          <w:tcPr>
            <w:tcW w:w="1212" w:type="dxa"/>
            <w:gridSpan w:val="3"/>
            <w:tcBorders>
              <w:top w:val="nil"/>
              <w:left w:val="nil"/>
              <w:bottom w:val="nil"/>
              <w:right w:val="nil"/>
            </w:tcBorders>
            <w:shd w:val="clear" w:color="auto" w:fill="auto"/>
            <w:noWrap/>
            <w:vAlign w:val="bottom"/>
            <w:hideMark/>
          </w:tcPr>
          <w:p w14:paraId="57D65658"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hideMark/>
          </w:tcPr>
          <w:p w14:paraId="54BB50CC" w14:textId="77777777" w:rsidR="00C2352F" w:rsidRPr="0049603C" w:rsidRDefault="00C2352F" w:rsidP="00201B2B">
            <w:pPr>
              <w:overflowPunct/>
              <w:autoSpaceDE/>
              <w:autoSpaceDN/>
              <w:adjustRightInd/>
              <w:textAlignment w:val="auto"/>
            </w:pPr>
          </w:p>
        </w:tc>
        <w:tc>
          <w:tcPr>
            <w:tcW w:w="1212" w:type="dxa"/>
            <w:gridSpan w:val="2"/>
            <w:tcBorders>
              <w:top w:val="nil"/>
              <w:left w:val="nil"/>
              <w:bottom w:val="nil"/>
              <w:right w:val="nil"/>
            </w:tcBorders>
            <w:shd w:val="clear" w:color="auto" w:fill="auto"/>
            <w:noWrap/>
            <w:vAlign w:val="bottom"/>
            <w:hideMark/>
          </w:tcPr>
          <w:p w14:paraId="3117925A"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hideMark/>
          </w:tcPr>
          <w:p w14:paraId="70566447" w14:textId="77777777" w:rsidR="00C2352F" w:rsidRPr="0049603C" w:rsidRDefault="00C2352F" w:rsidP="00201B2B">
            <w:pPr>
              <w:overflowPunct/>
              <w:autoSpaceDE/>
              <w:autoSpaceDN/>
              <w:adjustRightInd/>
              <w:textAlignment w:val="auto"/>
            </w:pPr>
          </w:p>
        </w:tc>
        <w:tc>
          <w:tcPr>
            <w:tcW w:w="1212" w:type="dxa"/>
            <w:tcBorders>
              <w:top w:val="nil"/>
              <w:left w:val="nil"/>
              <w:bottom w:val="nil"/>
              <w:right w:val="nil"/>
            </w:tcBorders>
            <w:shd w:val="clear" w:color="auto" w:fill="auto"/>
            <w:noWrap/>
            <w:vAlign w:val="bottom"/>
            <w:hideMark/>
          </w:tcPr>
          <w:p w14:paraId="3D51F2FA" w14:textId="77777777" w:rsidR="00C2352F" w:rsidRPr="0049603C" w:rsidRDefault="00C2352F" w:rsidP="00201B2B">
            <w:pPr>
              <w:overflowPunct/>
              <w:autoSpaceDE/>
              <w:autoSpaceDN/>
              <w:adjustRightInd/>
              <w:textAlignment w:val="auto"/>
            </w:pPr>
          </w:p>
        </w:tc>
        <w:tc>
          <w:tcPr>
            <w:tcW w:w="1213" w:type="dxa"/>
            <w:tcBorders>
              <w:top w:val="nil"/>
              <w:left w:val="nil"/>
              <w:bottom w:val="nil"/>
              <w:right w:val="nil"/>
            </w:tcBorders>
            <w:shd w:val="clear" w:color="auto" w:fill="auto"/>
            <w:noWrap/>
            <w:vAlign w:val="bottom"/>
            <w:hideMark/>
          </w:tcPr>
          <w:p w14:paraId="0BE32BFA" w14:textId="77777777" w:rsidR="00C2352F" w:rsidRPr="0049603C" w:rsidRDefault="00C2352F" w:rsidP="00201B2B">
            <w:pPr>
              <w:overflowPunct/>
              <w:autoSpaceDE/>
              <w:autoSpaceDN/>
              <w:adjustRightInd/>
              <w:textAlignment w:val="auto"/>
            </w:pPr>
          </w:p>
        </w:tc>
        <w:tc>
          <w:tcPr>
            <w:tcW w:w="1209" w:type="dxa"/>
            <w:tcBorders>
              <w:top w:val="nil"/>
              <w:left w:val="nil"/>
              <w:bottom w:val="nil"/>
              <w:right w:val="nil"/>
            </w:tcBorders>
            <w:shd w:val="clear" w:color="auto" w:fill="auto"/>
            <w:noWrap/>
            <w:vAlign w:val="bottom"/>
          </w:tcPr>
          <w:p w14:paraId="251AD06B" w14:textId="77777777" w:rsidR="00C2352F" w:rsidRPr="0049603C" w:rsidRDefault="00C2352F" w:rsidP="00201B2B">
            <w:pPr>
              <w:overflowPunct/>
              <w:autoSpaceDE/>
              <w:autoSpaceDN/>
              <w:adjustRightInd/>
              <w:textAlignment w:val="auto"/>
            </w:pPr>
          </w:p>
        </w:tc>
      </w:tr>
    </w:tbl>
    <w:p w14:paraId="2612F6DE" w14:textId="77777777" w:rsidR="00D408C0" w:rsidRDefault="00D408C0"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64F0128" w14:textId="5127A68A" w:rsidR="00C2352F" w:rsidRPr="007D22DD" w:rsidRDefault="00C2352F"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 xml:space="preserve">Auslöser hierfür sind die </w:t>
      </w:r>
      <w:r w:rsidR="00FC788B">
        <w:rPr>
          <w:rFonts w:ascii="Arial" w:eastAsia="Calibri" w:hAnsi="Arial" w:cs="Arial"/>
          <w:sz w:val="24"/>
          <w:szCs w:val="24"/>
          <w:lang w:eastAsia="en-US"/>
        </w:rPr>
        <w:t xml:space="preserve">weiter oben </w:t>
      </w:r>
      <w:r>
        <w:rPr>
          <w:rFonts w:ascii="Arial" w:eastAsia="Calibri" w:hAnsi="Arial" w:cs="Arial"/>
          <w:sz w:val="24"/>
          <w:szCs w:val="24"/>
          <w:lang w:eastAsia="en-US"/>
        </w:rPr>
        <w:t xml:space="preserve">im Einzelnen dargestellte vollständige Neuordnung der Sonderzahlungen, Besoldungserhöhungen mit Sockelbeträgen, die Einführung einer nur </w:t>
      </w:r>
      <w:r w:rsidRPr="007D22DD">
        <w:rPr>
          <w:rFonts w:ascii="Arial" w:eastAsia="Calibri" w:hAnsi="Arial" w:cs="Arial"/>
          <w:sz w:val="24"/>
          <w:szCs w:val="24"/>
          <w:lang w:eastAsia="en-US"/>
        </w:rPr>
        <w:t>Beamten gewährten „Hauptstadtzulage“ und die</w:t>
      </w:r>
      <w:r w:rsidR="00FC788B" w:rsidRPr="007D22DD">
        <w:rPr>
          <w:rFonts w:ascii="Arial" w:eastAsia="Calibri" w:hAnsi="Arial" w:cs="Arial"/>
          <w:sz w:val="24"/>
          <w:szCs w:val="24"/>
          <w:lang w:eastAsia="en-US"/>
        </w:rPr>
        <w:t xml:space="preserve"> </w:t>
      </w:r>
      <w:r w:rsidRPr="007D22DD">
        <w:rPr>
          <w:rFonts w:ascii="Arial" w:eastAsia="Calibri" w:hAnsi="Arial" w:cs="Arial"/>
          <w:sz w:val="24"/>
          <w:szCs w:val="24"/>
          <w:lang w:eastAsia="en-US"/>
        </w:rPr>
        <w:t>Abschaffung der unteren Besoldungsgruppen.</w:t>
      </w:r>
    </w:p>
    <w:p w14:paraId="792CECBF" w14:textId="40A3D1A1" w:rsidR="00996C9D" w:rsidRPr="007D22DD" w:rsidRDefault="00996C9D"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7ADE66D" w14:textId="62C3B29A" w:rsidR="00996C9D" w:rsidRDefault="00996C9D"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C11ADD">
        <w:rPr>
          <w:rFonts w:ascii="Arial" w:eastAsia="Calibri" w:hAnsi="Arial" w:cs="Arial"/>
          <w:sz w:val="24"/>
          <w:szCs w:val="24"/>
          <w:lang w:eastAsia="en-US"/>
        </w:rPr>
        <w:t xml:space="preserve">Dabei ist zu berücksichtigen, dass die vorstehende Betrachtung </w:t>
      </w:r>
      <w:r w:rsidR="007948E6" w:rsidRPr="00C11ADD">
        <w:rPr>
          <w:rFonts w:ascii="Arial" w:eastAsia="Calibri" w:hAnsi="Arial" w:cs="Arial"/>
          <w:sz w:val="24"/>
          <w:szCs w:val="24"/>
          <w:lang w:eastAsia="en-US"/>
        </w:rPr>
        <w:t>noch nicht einmal die wegen des Verfassungsverstoßes anzuhebende Mindestalimentation in den Blick nimmt.</w:t>
      </w:r>
      <w:r w:rsidR="002F44EF" w:rsidRPr="007D22DD">
        <w:rPr>
          <w:rFonts w:ascii="Arial" w:eastAsia="Calibri" w:hAnsi="Arial" w:cs="Arial"/>
          <w:sz w:val="24"/>
          <w:szCs w:val="24"/>
          <w:lang w:eastAsia="en-US"/>
        </w:rPr>
        <w:t xml:space="preserve"> Setzt man</w:t>
      </w:r>
      <w:r w:rsidR="002F44EF">
        <w:rPr>
          <w:rFonts w:ascii="Arial" w:eastAsia="Calibri" w:hAnsi="Arial" w:cs="Arial"/>
          <w:sz w:val="24"/>
          <w:szCs w:val="24"/>
          <w:lang w:eastAsia="en-US"/>
        </w:rPr>
        <w:t xml:space="preserve"> die Besoldung nach R 1-Endstufe in Beziehung zur verfassungsrechtlich gerade noch ausreichenden Mindestbesoldung ergibt sich ein noch steileres Abfallen der Abstände zwischen den Besoldungsgruppen.</w:t>
      </w:r>
    </w:p>
    <w:p w14:paraId="40246383" w14:textId="4163563B" w:rsidR="000A3BA3" w:rsidRDefault="000A3BA3"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1AEFFECA" w14:textId="4D44EE5F" w:rsidR="002F44EF" w:rsidRDefault="002F44EF"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r>
        <w:rPr>
          <w:noProof/>
        </w:rPr>
        <w:drawing>
          <wp:inline distT="0" distB="0" distL="0" distR="0" wp14:anchorId="68798215" wp14:editId="6667C7B0">
            <wp:extent cx="4572000" cy="27432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2F8414" w14:textId="20C8E63B" w:rsidR="002F44EF" w:rsidRDefault="002F44EF"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132B4381" w14:textId="77777777" w:rsidR="004338EF" w:rsidRDefault="004338EF"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45D8CBC7" w14:textId="37FFA484" w:rsidR="00B669C2" w:rsidRDefault="00432148"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dd) </w:t>
      </w:r>
      <w:r w:rsidR="00B669C2">
        <w:rPr>
          <w:rFonts w:ascii="Arial" w:eastAsia="Calibri" w:hAnsi="Arial" w:cs="Arial"/>
          <w:sz w:val="24"/>
          <w:szCs w:val="24"/>
          <w:lang w:eastAsia="en-US"/>
        </w:rPr>
        <w:t>A</w:t>
      </w:r>
      <w:r w:rsidR="000A3BA3">
        <w:rPr>
          <w:rFonts w:ascii="Arial" w:eastAsia="Calibri" w:hAnsi="Arial" w:cs="Arial"/>
          <w:sz w:val="24"/>
          <w:szCs w:val="24"/>
          <w:lang w:eastAsia="en-US"/>
        </w:rPr>
        <w:t xml:space="preserve">uch beim Vergleich </w:t>
      </w:r>
      <w:r w:rsidR="00B669C2">
        <w:rPr>
          <w:rFonts w:ascii="Arial" w:eastAsia="Calibri" w:hAnsi="Arial" w:cs="Arial"/>
          <w:sz w:val="24"/>
          <w:szCs w:val="24"/>
          <w:lang w:eastAsia="en-US"/>
        </w:rPr>
        <w:t xml:space="preserve">der Entwicklung der R-Besoldung </w:t>
      </w:r>
      <w:r w:rsidR="000A3BA3">
        <w:rPr>
          <w:rFonts w:ascii="Arial" w:eastAsia="Calibri" w:hAnsi="Arial" w:cs="Arial"/>
          <w:sz w:val="24"/>
          <w:szCs w:val="24"/>
          <w:lang w:eastAsia="en-US"/>
        </w:rPr>
        <w:t xml:space="preserve">mit der Entwicklung der Bezahlung angestellter Lehrer zeigen sich Verwerfungen, welche im Rahmen der Gesamtbetrachtung den Befund einer verfassungswidrigen Besoldung des höheren Justizdienstes </w:t>
      </w:r>
      <w:r w:rsidR="00A15A23">
        <w:rPr>
          <w:rFonts w:ascii="Arial" w:eastAsia="Calibri" w:hAnsi="Arial" w:cs="Arial"/>
          <w:sz w:val="24"/>
          <w:szCs w:val="24"/>
          <w:lang w:eastAsia="en-US"/>
        </w:rPr>
        <w:t>erhärten</w:t>
      </w:r>
      <w:r w:rsidR="008836FB">
        <w:rPr>
          <w:rFonts w:ascii="Arial" w:eastAsia="Calibri" w:hAnsi="Arial" w:cs="Arial"/>
          <w:sz w:val="24"/>
          <w:szCs w:val="24"/>
          <w:lang w:eastAsia="en-US"/>
        </w:rPr>
        <w:t>, da die relative Wertigkeit der Ämter nicht mehr ausreichend in der Vergütung abgebildet wird</w:t>
      </w:r>
      <w:r w:rsidR="000A3BA3">
        <w:rPr>
          <w:rFonts w:ascii="Arial" w:eastAsia="Calibri" w:hAnsi="Arial" w:cs="Arial"/>
          <w:sz w:val="24"/>
          <w:szCs w:val="24"/>
          <w:lang w:eastAsia="en-US"/>
        </w:rPr>
        <w:t xml:space="preserve">. </w:t>
      </w:r>
    </w:p>
    <w:p w14:paraId="233BBD8C" w14:textId="77777777" w:rsidR="00B669C2" w:rsidRDefault="00B669C2"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9E6BB77" w14:textId="41B3A410" w:rsidR="008836FB" w:rsidRDefault="000A3BA3"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Im L</w:t>
      </w:r>
      <w:r w:rsidR="007E3A55">
        <w:rPr>
          <w:rFonts w:ascii="Arial" w:eastAsia="Calibri" w:hAnsi="Arial" w:cs="Arial"/>
          <w:sz w:val="24"/>
          <w:szCs w:val="24"/>
          <w:lang w:eastAsia="en-US"/>
        </w:rPr>
        <w:t>and Berlin werden Lehrkräfte als Tarifbeschäftigte eingestellt und eingruppiert. Unter Geltung des bis 2004 anwendbaren Bundesangestellten-Tarifvertrages, Vergütungstarifvertrag Nr. 35, waren Grundschullehrerinnen und Grundschullehrer danach in die Entgeltgruppe</w:t>
      </w:r>
      <w:r w:rsidR="00B669C2">
        <w:rPr>
          <w:rFonts w:ascii="Arial" w:eastAsia="Calibri" w:hAnsi="Arial" w:cs="Arial"/>
          <w:sz w:val="24"/>
          <w:szCs w:val="24"/>
          <w:lang w:eastAsia="en-US"/>
        </w:rPr>
        <w:t> </w:t>
      </w:r>
      <w:r w:rsidR="007E3A55">
        <w:rPr>
          <w:rFonts w:ascii="Arial" w:eastAsia="Calibri" w:hAnsi="Arial" w:cs="Arial"/>
          <w:sz w:val="24"/>
          <w:szCs w:val="24"/>
          <w:lang w:eastAsia="en-US"/>
        </w:rPr>
        <w:t>III eingruppiert. Diese entsprach für beamtete Lehrkräfte der Besoldungsgruppe A</w:t>
      </w:r>
      <w:r w:rsidR="00B669C2">
        <w:rPr>
          <w:rFonts w:ascii="Arial" w:eastAsia="Calibri" w:hAnsi="Arial" w:cs="Arial"/>
          <w:sz w:val="24"/>
          <w:szCs w:val="24"/>
          <w:lang w:eastAsia="en-US"/>
        </w:rPr>
        <w:t> </w:t>
      </w:r>
      <w:r w:rsidR="007E3A55">
        <w:rPr>
          <w:rFonts w:ascii="Arial" w:eastAsia="Calibri" w:hAnsi="Arial" w:cs="Arial"/>
          <w:sz w:val="24"/>
          <w:szCs w:val="24"/>
          <w:lang w:eastAsia="en-US"/>
        </w:rPr>
        <w:t xml:space="preserve">12 (vgl. </w:t>
      </w:r>
      <w:r w:rsidR="007E3A55" w:rsidRPr="00805543">
        <w:rPr>
          <w:rFonts w:ascii="Arial" w:eastAsia="Calibri" w:hAnsi="Arial" w:cs="Arial"/>
          <w:sz w:val="24"/>
          <w:szCs w:val="24"/>
          <w:lang w:eastAsia="en-US"/>
        </w:rPr>
        <w:t>§ 8 der Verordnung über die Laufbahnen der Beamtinnen und Beamten der Laufbahnfachrichtung Bildung – BLVO vom 18. Dezember 2012, GVBl. 2012, 546)</w:t>
      </w:r>
      <w:r w:rsidR="007E3A55">
        <w:rPr>
          <w:rFonts w:ascii="Arial" w:eastAsia="Calibri" w:hAnsi="Arial" w:cs="Arial"/>
          <w:sz w:val="24"/>
          <w:szCs w:val="24"/>
          <w:lang w:eastAsia="en-US"/>
        </w:rPr>
        <w:t xml:space="preserve">. </w:t>
      </w:r>
      <w:r w:rsidR="00F1048E">
        <w:rPr>
          <w:rFonts w:ascii="Arial" w:eastAsia="Calibri" w:hAnsi="Arial" w:cs="Arial"/>
          <w:sz w:val="24"/>
          <w:szCs w:val="24"/>
          <w:lang w:eastAsia="en-US"/>
        </w:rPr>
        <w:t xml:space="preserve">Im Jahr 2004 erhielt danach eine Lehrkraft an Grundschulen in der Lebensaltersstufe 27 Jahre eine monatliche Bruttovergütung in Höhe von 2.847,60 </w:t>
      </w:r>
      <w:r w:rsidR="00996C9D">
        <w:rPr>
          <w:rFonts w:ascii="Arial" w:eastAsia="Calibri" w:hAnsi="Arial" w:cs="Arial"/>
          <w:sz w:val="24"/>
          <w:szCs w:val="24"/>
          <w:lang w:eastAsia="en-US"/>
        </w:rPr>
        <w:t>€</w:t>
      </w:r>
      <w:r w:rsidR="00F1048E">
        <w:rPr>
          <w:rFonts w:ascii="Arial" w:eastAsia="Calibri" w:hAnsi="Arial" w:cs="Arial"/>
          <w:sz w:val="24"/>
          <w:szCs w:val="24"/>
          <w:lang w:eastAsia="en-US"/>
        </w:rPr>
        <w:t xml:space="preserve">. </w:t>
      </w:r>
      <w:r w:rsidR="001B6FAA">
        <w:rPr>
          <w:rFonts w:ascii="Arial" w:eastAsia="Calibri" w:hAnsi="Arial" w:cs="Arial"/>
          <w:sz w:val="24"/>
          <w:szCs w:val="24"/>
          <w:lang w:eastAsia="en-US"/>
        </w:rPr>
        <w:t xml:space="preserve">Durch die </w:t>
      </w:r>
      <w:r w:rsidR="001B6FAA" w:rsidRPr="00805543">
        <w:rPr>
          <w:rFonts w:ascii="Arial" w:eastAsia="Calibri" w:hAnsi="Arial" w:cs="Arial"/>
          <w:sz w:val="24"/>
          <w:szCs w:val="24"/>
          <w:lang w:eastAsia="en-US"/>
        </w:rPr>
        <w:t xml:space="preserve">Erste Verordnung zur Änderung </w:t>
      </w:r>
      <w:r w:rsidR="001B6FAA">
        <w:rPr>
          <w:rFonts w:ascii="Arial" w:eastAsia="Calibri" w:hAnsi="Arial" w:cs="Arial"/>
          <w:sz w:val="24"/>
          <w:szCs w:val="24"/>
          <w:lang w:eastAsia="en-US"/>
        </w:rPr>
        <w:t>der Bildungslaufbahnverordnung v</w:t>
      </w:r>
      <w:r w:rsidR="001B6FAA" w:rsidRPr="00805543">
        <w:rPr>
          <w:rFonts w:ascii="Arial" w:eastAsia="Calibri" w:hAnsi="Arial" w:cs="Arial"/>
          <w:sz w:val="24"/>
          <w:szCs w:val="24"/>
          <w:lang w:eastAsia="en-US"/>
        </w:rPr>
        <w:t>om 18. Juli 2017</w:t>
      </w:r>
      <w:r w:rsidR="001B6FAA">
        <w:rPr>
          <w:rFonts w:ascii="Arial" w:eastAsia="Calibri" w:hAnsi="Arial" w:cs="Arial"/>
          <w:sz w:val="24"/>
          <w:szCs w:val="24"/>
          <w:lang w:eastAsia="en-US"/>
        </w:rPr>
        <w:t xml:space="preserve"> (GVBl. 2017, 391) wurde der Laufbahnzweig „</w:t>
      </w:r>
      <w:r w:rsidR="00637651">
        <w:rPr>
          <w:rFonts w:ascii="Arial" w:eastAsia="Calibri" w:hAnsi="Arial" w:cs="Arial"/>
          <w:sz w:val="24"/>
          <w:szCs w:val="24"/>
          <w:lang w:eastAsia="en-US"/>
        </w:rPr>
        <w:t xml:space="preserve">Lehrkraft mit dem </w:t>
      </w:r>
      <w:r w:rsidR="001B6FAA">
        <w:rPr>
          <w:rFonts w:ascii="Arial" w:eastAsia="Calibri" w:hAnsi="Arial" w:cs="Arial"/>
          <w:sz w:val="24"/>
          <w:szCs w:val="24"/>
          <w:lang w:eastAsia="en-US"/>
        </w:rPr>
        <w:t>Lehramt an Grundschulen“ mit dem Eingangsamt A 13 geschaffen (§</w:t>
      </w:r>
      <w:r w:rsidR="007760B1">
        <w:rPr>
          <w:rFonts w:ascii="Arial" w:eastAsia="Calibri" w:hAnsi="Arial" w:cs="Arial"/>
          <w:sz w:val="24"/>
          <w:szCs w:val="24"/>
          <w:lang w:eastAsia="en-US"/>
        </w:rPr>
        <w:t> </w:t>
      </w:r>
      <w:r w:rsidR="001B6FAA">
        <w:rPr>
          <w:rFonts w:ascii="Arial" w:eastAsia="Calibri" w:hAnsi="Arial" w:cs="Arial"/>
          <w:sz w:val="24"/>
          <w:szCs w:val="24"/>
          <w:lang w:eastAsia="en-US"/>
        </w:rPr>
        <w:t>8a</w:t>
      </w:r>
      <w:r w:rsidR="007760B1">
        <w:rPr>
          <w:rFonts w:ascii="Arial" w:eastAsia="Calibri" w:hAnsi="Arial" w:cs="Arial"/>
          <w:sz w:val="24"/>
          <w:szCs w:val="24"/>
          <w:lang w:eastAsia="en-US"/>
        </w:rPr>
        <w:t> </w:t>
      </w:r>
      <w:r w:rsidR="001B6FAA">
        <w:rPr>
          <w:rFonts w:ascii="Arial" w:eastAsia="Calibri" w:hAnsi="Arial" w:cs="Arial"/>
          <w:sz w:val="24"/>
          <w:szCs w:val="24"/>
          <w:lang w:eastAsia="en-US"/>
        </w:rPr>
        <w:t xml:space="preserve">BLVO). Tarifbeschäftigte Lehrkräfte an Grundschulen werden seither in der entsprechenden Entgeltgruppe E 13 angestellt. Tarifbeschäftigte Lehrkräfte werden darüber hinaus </w:t>
      </w:r>
      <w:r w:rsidR="001B6FAA">
        <w:rPr>
          <w:rFonts w:ascii="Arial" w:eastAsia="Calibri" w:hAnsi="Arial" w:cs="Arial"/>
          <w:sz w:val="24"/>
          <w:szCs w:val="24"/>
          <w:lang w:eastAsia="en-US"/>
        </w:rPr>
        <w:lastRenderedPageBreak/>
        <w:t xml:space="preserve">„übertariflich“ bezahlt, indem ihnen eine „Zulage zu Stufe 5“ gewährt wird, sie also unabhängig von etwaigen Vorerfahren oder Vordienstzeiten sogleich mit Einstellung eine Vergütung aus der Erfahrungsstufe 5 erhalten. Zusammen mit der den Lehrkräften ebenfalls </w:t>
      </w:r>
      <w:r w:rsidR="00582D2A">
        <w:rPr>
          <w:rFonts w:ascii="Arial" w:eastAsia="Calibri" w:hAnsi="Arial" w:cs="Arial"/>
          <w:sz w:val="24"/>
          <w:szCs w:val="24"/>
          <w:lang w:eastAsia="en-US"/>
        </w:rPr>
        <w:t xml:space="preserve">seit dem Jahr 2020 </w:t>
      </w:r>
      <w:r w:rsidR="001B6FAA">
        <w:rPr>
          <w:rFonts w:ascii="Arial" w:eastAsia="Calibri" w:hAnsi="Arial" w:cs="Arial"/>
          <w:sz w:val="24"/>
          <w:szCs w:val="24"/>
          <w:lang w:eastAsia="en-US"/>
        </w:rPr>
        <w:t>gewährten Hauptstadtzulage ergibt sich eine monatliche Gesamtvergütung von 5.851,88</w:t>
      </w:r>
      <w:r w:rsidR="00582D2A">
        <w:rPr>
          <w:rFonts w:ascii="Arial" w:eastAsia="Calibri" w:hAnsi="Arial" w:cs="Arial"/>
          <w:sz w:val="24"/>
          <w:szCs w:val="24"/>
          <w:lang w:eastAsia="en-US"/>
        </w:rPr>
        <w:t> </w:t>
      </w:r>
      <w:r w:rsidR="00996C9D">
        <w:rPr>
          <w:rFonts w:ascii="Arial" w:eastAsia="Calibri" w:hAnsi="Arial" w:cs="Arial"/>
          <w:sz w:val="24"/>
          <w:szCs w:val="24"/>
          <w:lang w:eastAsia="en-US"/>
        </w:rPr>
        <w:t>€</w:t>
      </w:r>
      <w:r w:rsidR="001B6FAA">
        <w:rPr>
          <w:rFonts w:ascii="Arial" w:eastAsia="Calibri" w:hAnsi="Arial" w:cs="Arial"/>
          <w:sz w:val="24"/>
          <w:szCs w:val="24"/>
          <w:lang w:eastAsia="en-US"/>
        </w:rPr>
        <w:t>.</w:t>
      </w:r>
      <w:r w:rsidR="00F1048E">
        <w:rPr>
          <w:rFonts w:ascii="Arial" w:eastAsia="Calibri" w:hAnsi="Arial" w:cs="Arial"/>
          <w:sz w:val="24"/>
          <w:szCs w:val="24"/>
          <w:lang w:eastAsia="en-US"/>
        </w:rPr>
        <w:t xml:space="preserve"> Das Bruttogehalt einer neu angestellten Lehrkraft an Grundschulen hat sich danach im Zeitraum 2004 bis 2021 um mehr als 105 % erhöht. Die monatliche Bruttobesoldung nach R 1, Lebensaltersstufe 1 betrug im Jahr 2004 3.093,94 </w:t>
      </w:r>
      <w:r w:rsidR="00996C9D">
        <w:rPr>
          <w:rFonts w:ascii="Arial" w:eastAsia="Calibri" w:hAnsi="Arial" w:cs="Arial"/>
          <w:sz w:val="24"/>
          <w:szCs w:val="24"/>
          <w:lang w:eastAsia="en-US"/>
        </w:rPr>
        <w:t>€</w:t>
      </w:r>
      <w:r w:rsidR="00F1048E">
        <w:rPr>
          <w:rFonts w:ascii="Arial" w:eastAsia="Calibri" w:hAnsi="Arial" w:cs="Arial"/>
          <w:sz w:val="24"/>
          <w:szCs w:val="24"/>
          <w:lang w:eastAsia="en-US"/>
        </w:rPr>
        <w:t xml:space="preserve">, </w:t>
      </w:r>
      <w:r w:rsidR="00582D2A">
        <w:rPr>
          <w:rFonts w:ascii="Arial" w:eastAsia="Calibri" w:hAnsi="Arial" w:cs="Arial"/>
          <w:sz w:val="24"/>
          <w:szCs w:val="24"/>
          <w:lang w:eastAsia="en-US"/>
        </w:rPr>
        <w:t xml:space="preserve">im Jahr 2021 </w:t>
      </w:r>
      <w:r w:rsidR="00F1048E">
        <w:rPr>
          <w:rFonts w:ascii="Arial" w:eastAsia="Calibri" w:hAnsi="Arial" w:cs="Arial"/>
          <w:sz w:val="24"/>
          <w:szCs w:val="24"/>
          <w:lang w:eastAsia="en-US"/>
        </w:rPr>
        <w:t xml:space="preserve">beträgt es in der Erfahrungsstufe 1 4.592,26 </w:t>
      </w:r>
      <w:r w:rsidR="00996C9D">
        <w:rPr>
          <w:rFonts w:ascii="Arial" w:eastAsia="Calibri" w:hAnsi="Arial" w:cs="Arial"/>
          <w:sz w:val="24"/>
          <w:szCs w:val="24"/>
          <w:lang w:eastAsia="en-US"/>
        </w:rPr>
        <w:t>€</w:t>
      </w:r>
      <w:r w:rsidR="00F1048E">
        <w:rPr>
          <w:rFonts w:ascii="Arial" w:eastAsia="Calibri" w:hAnsi="Arial" w:cs="Arial"/>
          <w:sz w:val="24"/>
          <w:szCs w:val="24"/>
          <w:lang w:eastAsia="en-US"/>
        </w:rPr>
        <w:t xml:space="preserve">. </w:t>
      </w:r>
      <w:r w:rsidR="00A15A23">
        <w:rPr>
          <w:rFonts w:ascii="Arial" w:eastAsia="Calibri" w:hAnsi="Arial" w:cs="Arial"/>
          <w:sz w:val="24"/>
          <w:szCs w:val="24"/>
          <w:lang w:eastAsia="en-US"/>
        </w:rPr>
        <w:t>Dies entspricht einer Steigerung von 48,43</w:t>
      </w:r>
      <w:r w:rsidR="00582D2A">
        <w:rPr>
          <w:rFonts w:ascii="Arial" w:eastAsia="Calibri" w:hAnsi="Arial" w:cs="Arial"/>
          <w:sz w:val="24"/>
          <w:szCs w:val="24"/>
          <w:lang w:eastAsia="en-US"/>
        </w:rPr>
        <w:t> </w:t>
      </w:r>
      <w:r w:rsidR="00A15A23">
        <w:rPr>
          <w:rFonts w:ascii="Arial" w:eastAsia="Calibri" w:hAnsi="Arial" w:cs="Arial"/>
          <w:sz w:val="24"/>
          <w:szCs w:val="24"/>
          <w:lang w:eastAsia="en-US"/>
        </w:rPr>
        <w:t xml:space="preserve">%. </w:t>
      </w:r>
      <w:r w:rsidR="00F1048E">
        <w:rPr>
          <w:rFonts w:ascii="Arial" w:eastAsia="Calibri" w:hAnsi="Arial" w:cs="Arial"/>
          <w:sz w:val="24"/>
          <w:szCs w:val="24"/>
          <w:lang w:eastAsia="en-US"/>
        </w:rPr>
        <w:t>Erst ab der Erfahrungsstufe 4</w:t>
      </w:r>
      <w:r w:rsidR="00A15A23">
        <w:rPr>
          <w:rFonts w:ascii="Arial" w:eastAsia="Calibri" w:hAnsi="Arial" w:cs="Arial"/>
          <w:sz w:val="24"/>
          <w:szCs w:val="24"/>
          <w:lang w:eastAsia="en-US"/>
        </w:rPr>
        <w:t>, welche erst nach 7 Jahren Dienstzeit erreicht wird,</w:t>
      </w:r>
      <w:r w:rsidR="00F1048E">
        <w:rPr>
          <w:rFonts w:ascii="Arial" w:eastAsia="Calibri" w:hAnsi="Arial" w:cs="Arial"/>
          <w:sz w:val="24"/>
          <w:szCs w:val="24"/>
          <w:lang w:eastAsia="en-US"/>
        </w:rPr>
        <w:t xml:space="preserve"> </w:t>
      </w:r>
      <w:r w:rsidR="00A15A23">
        <w:rPr>
          <w:rFonts w:ascii="Arial" w:eastAsia="Calibri" w:hAnsi="Arial" w:cs="Arial"/>
          <w:sz w:val="24"/>
          <w:szCs w:val="24"/>
          <w:lang w:eastAsia="en-US"/>
        </w:rPr>
        <w:t>übersteigt</w:t>
      </w:r>
      <w:r w:rsidR="00F1048E">
        <w:rPr>
          <w:rFonts w:ascii="Arial" w:eastAsia="Calibri" w:hAnsi="Arial" w:cs="Arial"/>
          <w:sz w:val="24"/>
          <w:szCs w:val="24"/>
          <w:lang w:eastAsia="en-US"/>
        </w:rPr>
        <w:t xml:space="preserve"> die Bruttobesoldung nach R 1 das Bruttoentgelt einer angestell</w:t>
      </w:r>
      <w:r w:rsidR="00A15A23">
        <w:rPr>
          <w:rFonts w:ascii="Arial" w:eastAsia="Calibri" w:hAnsi="Arial" w:cs="Arial"/>
          <w:sz w:val="24"/>
          <w:szCs w:val="24"/>
          <w:lang w:eastAsia="en-US"/>
        </w:rPr>
        <w:t>ten Grundschullehrkraft.</w:t>
      </w:r>
    </w:p>
    <w:p w14:paraId="600723D9" w14:textId="77777777" w:rsidR="00F73244" w:rsidRDefault="00F73244" w:rsidP="00805543">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4932089C" w14:textId="3289580D" w:rsidR="00CC5A21" w:rsidRPr="003239E1" w:rsidRDefault="00472567"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d</w:t>
      </w:r>
      <w:r w:rsidR="003239E1" w:rsidRPr="003239E1">
        <w:rPr>
          <w:rFonts w:ascii="Arial" w:eastAsia="Calibri" w:hAnsi="Arial" w:cs="Arial"/>
          <w:sz w:val="24"/>
          <w:szCs w:val="24"/>
          <w:lang w:eastAsia="en-US"/>
        </w:rPr>
        <w:t xml:space="preserve">) Die Vermutung einer der angemessenen Beteiligung an der allgemeinen Entwicklung der wirtschaftlichen und finanziellen Verhältnisse und des Lebensstandards nicht genügenden und damit verfassungswidrigen Unteralimentation </w:t>
      </w:r>
      <w:r w:rsidR="003E19A1">
        <w:rPr>
          <w:rFonts w:ascii="Arial" w:eastAsia="Calibri" w:hAnsi="Arial" w:cs="Arial"/>
          <w:sz w:val="24"/>
          <w:szCs w:val="24"/>
          <w:lang w:eastAsia="en-US"/>
        </w:rPr>
        <w:t xml:space="preserve">für die Jahre 2016 bis 2020 </w:t>
      </w:r>
      <w:r w:rsidR="003239E1" w:rsidRPr="003239E1">
        <w:rPr>
          <w:rFonts w:ascii="Arial" w:eastAsia="Calibri" w:hAnsi="Arial" w:cs="Arial"/>
          <w:sz w:val="24"/>
          <w:szCs w:val="24"/>
          <w:lang w:eastAsia="en-US"/>
        </w:rPr>
        <w:t>wird erhärtet, wenn man im Rahmen der Gesamtabwägung die weiteren alimentationsrelevanten Kriterien einbezieht.</w:t>
      </w:r>
    </w:p>
    <w:p w14:paraId="5722FE84" w14:textId="77777777" w:rsidR="003239E1" w:rsidRP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FE108AA" w14:textId="45F2CDD1" w:rsidR="003239E1" w:rsidRPr="003D4162" w:rsidRDefault="003239E1" w:rsidP="00AD2C4F">
      <w:pPr>
        <w:overflowPunct/>
        <w:autoSpaceDE/>
        <w:autoSpaceDN/>
        <w:adjustRightInd/>
        <w:spacing w:line="276" w:lineRule="auto"/>
        <w:contextualSpacing/>
        <w:jc w:val="both"/>
        <w:textAlignment w:val="auto"/>
        <w:rPr>
          <w:rFonts w:ascii="Arial" w:eastAsia="Calibri" w:hAnsi="Arial" w:cs="Arial"/>
          <w:color w:val="00B050"/>
          <w:sz w:val="24"/>
          <w:szCs w:val="24"/>
          <w:lang w:eastAsia="en-US"/>
        </w:rPr>
      </w:pPr>
      <w:r w:rsidRPr="003239E1">
        <w:rPr>
          <w:rFonts w:ascii="Arial" w:eastAsia="Calibri" w:hAnsi="Arial" w:cs="Arial"/>
          <w:sz w:val="24"/>
          <w:szCs w:val="24"/>
          <w:lang w:eastAsia="en-US"/>
        </w:rPr>
        <w:t xml:space="preserve">aa) Mit dem Amt eines Richters oder Staatsanwaltes sind vielfältige und anspruchsvolle Aufgaben verbunden, weshalb hohe Anforderungen an den akademischen Werdegang und die Qualifikation ihrer Inhaber gestellt werden. </w:t>
      </w:r>
      <w:r w:rsidRPr="003D4162">
        <w:rPr>
          <w:rFonts w:ascii="Arial" w:eastAsia="Calibri" w:hAnsi="Arial" w:cs="Arial"/>
          <w:color w:val="00B050"/>
          <w:sz w:val="24"/>
          <w:szCs w:val="24"/>
          <w:lang w:eastAsia="en-US"/>
        </w:rPr>
        <w:t>Dies gilt in verstärktem Maße für die den Besoldungsgruppen R 2 (u.a. Vorsitzender Richter am Landgericht, Richter am Oberlandesgericht; Oberstaatsanwalt) zugeordneten Ämter.</w:t>
      </w:r>
    </w:p>
    <w:p w14:paraId="67161D8C" w14:textId="5586F1B3" w:rsid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38B5F604" w14:textId="1AD246C7" w:rsidR="00210D3B" w:rsidRPr="004A4547"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4A4547">
        <w:rPr>
          <w:rFonts w:ascii="Arial" w:eastAsia="Calibri" w:hAnsi="Arial" w:cs="Arial"/>
          <w:sz w:val="24"/>
          <w:szCs w:val="24"/>
          <w:lang w:eastAsia="en-US"/>
        </w:rPr>
        <w:t>Das Bundesverwaltungsgericht hat in seinem Vorlagebeschluss vom 22. September 2017 (2</w:t>
      </w:r>
      <w:r w:rsidR="00582D2A">
        <w:rPr>
          <w:rFonts w:ascii="Arial" w:eastAsia="Calibri" w:hAnsi="Arial" w:cs="Arial"/>
          <w:sz w:val="24"/>
          <w:szCs w:val="24"/>
          <w:lang w:eastAsia="en-US"/>
        </w:rPr>
        <w:t> </w:t>
      </w:r>
      <w:r w:rsidRPr="004A4547">
        <w:rPr>
          <w:rFonts w:ascii="Arial" w:eastAsia="Calibri" w:hAnsi="Arial" w:cs="Arial"/>
          <w:sz w:val="24"/>
          <w:szCs w:val="24"/>
          <w:lang w:eastAsia="en-US"/>
        </w:rPr>
        <w:t>C 56/16 u.a.) klargestellt, dass bei der Prüfung der Frage, ob es noch gelingt, überdurchschnittlich qualifizierte Kräfte für den höheren Justizdienst anzuwerben, neben der Entwicklung der formalen Notenanforderungen an künftige Richter und Staatsanwälte auch die Entwicklung des Notenniveaus in den juristischen Prüfungen in den Blick zu nehmen ist. Erst die Betrachtung der allgemeinen Entwicklung der Examensergebnisse erlaubt eine Einschätzung der Relevanz von Änderungen im Anforderungsprofil für Bewerberinnen und Bewerber. Hier ist es in den letzten zehn Jahren zu fundamentalen Umwälzungen gekommen.</w:t>
      </w:r>
    </w:p>
    <w:p w14:paraId="37ABC0F5" w14:textId="77777777" w:rsidR="00210D3B" w:rsidRPr="004A4547"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3A04D1D6" w14:textId="6B2449A6" w:rsidR="00210D3B" w:rsidRPr="004A4547"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4A4547">
        <w:rPr>
          <w:rFonts w:ascii="Arial" w:eastAsia="Calibri" w:hAnsi="Arial" w:cs="Arial"/>
          <w:sz w:val="24"/>
          <w:szCs w:val="24"/>
          <w:lang w:eastAsia="en-US"/>
        </w:rPr>
        <w:t>Das Bundesverwaltungsgericht hat festgestellt, dass das Land Berlin als „Basis-Anforderungsprofil“ noch im Jahr 2004 die Note „vollbefriedigend“ (also ein Ergebnis von mindestens 9,0 Punkten) in beiden juristischen Staatsprüfungen voraussetzte. In den Stellenausschreibungen war hierzu die folgende Formulierung verwendet worden: „Sie müssen die in § 9 des Deutschen Richtergesetzes genannten Voraussetzungen erfüllen, zwei Prädikatsexamen (mindestens vollbefriedigend) besitzen und überdurchschnittliche Leistungen im Vorbereitungsdienst erbracht haben“</w:t>
      </w:r>
      <w:r w:rsidR="000F675A">
        <w:rPr>
          <w:rFonts w:ascii="Arial" w:eastAsia="Calibri" w:hAnsi="Arial" w:cs="Arial"/>
          <w:sz w:val="24"/>
          <w:szCs w:val="24"/>
          <w:lang w:eastAsia="en-US"/>
        </w:rPr>
        <w:t>.</w:t>
      </w:r>
    </w:p>
    <w:p w14:paraId="65F2C6E5" w14:textId="77777777" w:rsidR="00210D3B" w:rsidRPr="004A4547"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DC53C53" w14:textId="41785AFA" w:rsidR="00210D3B" w:rsidRPr="004A4547"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4A4547">
        <w:rPr>
          <w:rFonts w:ascii="Arial" w:eastAsia="Calibri" w:hAnsi="Arial" w:cs="Arial"/>
          <w:sz w:val="24"/>
          <w:szCs w:val="24"/>
          <w:lang w:eastAsia="en-US"/>
        </w:rPr>
        <w:t xml:space="preserve">Im Jahr 2007 war die Stellenausschreibung bereits dahin modifiziert worden, dass die Notenanforderung auf „in der Regel mindestens vollbefriedigend“ abgesenkt wurde. Seit dem Jahr 2011 mussten Bewerber nach der allgemeinen Stellenausschreibung des Landes Berlin „im Ersten Staatsexamen mindestens 7,5 Punkte, im Zweiten Staatsexamen mindestens </w:t>
      </w:r>
      <w:r w:rsidRPr="004A4547">
        <w:rPr>
          <w:rFonts w:ascii="Arial" w:eastAsia="Calibri" w:hAnsi="Arial" w:cs="Arial"/>
          <w:sz w:val="24"/>
          <w:szCs w:val="24"/>
          <w:lang w:eastAsia="en-US"/>
        </w:rPr>
        <w:lastRenderedPageBreak/>
        <w:t>8,5</w:t>
      </w:r>
      <w:r w:rsidR="00B03E62">
        <w:rPr>
          <w:rFonts w:ascii="Arial" w:eastAsia="Calibri" w:hAnsi="Arial" w:cs="Arial"/>
          <w:sz w:val="24"/>
          <w:szCs w:val="24"/>
          <w:lang w:eastAsia="en-US"/>
        </w:rPr>
        <w:t> </w:t>
      </w:r>
      <w:r w:rsidRPr="004A4547">
        <w:rPr>
          <w:rFonts w:ascii="Arial" w:eastAsia="Calibri" w:hAnsi="Arial" w:cs="Arial"/>
          <w:sz w:val="24"/>
          <w:szCs w:val="24"/>
          <w:lang w:eastAsia="en-US"/>
        </w:rPr>
        <w:t>Punkte“ erreicht haben. Gegenwärtig wird sogar nur noch ein Ergebnis von mindestens 7,0 Punkten in der Ersten Juristischen Prüfung sowie 8,0 Punkten in der Zweiten Staatsprüfung vorausgesetzt.</w:t>
      </w:r>
    </w:p>
    <w:p w14:paraId="3E3D592C" w14:textId="77777777"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292C267" w14:textId="5628FAB5"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06CB9">
        <w:rPr>
          <w:rFonts w:ascii="Arial" w:eastAsia="Calibri" w:hAnsi="Arial" w:cs="Arial"/>
          <w:sz w:val="24"/>
          <w:szCs w:val="24"/>
          <w:lang w:eastAsia="en-US"/>
        </w:rPr>
        <w:t xml:space="preserve">Das Bundesverwaltungsgericht hat </w:t>
      </w:r>
      <w:r w:rsidR="004A4547" w:rsidRPr="00806CB9">
        <w:rPr>
          <w:rFonts w:ascii="Arial" w:eastAsia="Calibri" w:hAnsi="Arial" w:cs="Arial"/>
          <w:sz w:val="24"/>
          <w:szCs w:val="24"/>
          <w:lang w:eastAsia="en-US"/>
        </w:rPr>
        <w:t xml:space="preserve">in seinem Vorlagebeschluss </w:t>
      </w:r>
      <w:r w:rsidRPr="00806CB9">
        <w:rPr>
          <w:rFonts w:ascii="Arial" w:eastAsia="Calibri" w:hAnsi="Arial" w:cs="Arial"/>
          <w:sz w:val="24"/>
          <w:szCs w:val="24"/>
          <w:lang w:eastAsia="en-US"/>
        </w:rPr>
        <w:t xml:space="preserve">ferner </w:t>
      </w:r>
      <w:r w:rsidR="004A4547" w:rsidRPr="00806CB9">
        <w:rPr>
          <w:rFonts w:ascii="Arial" w:eastAsia="Calibri" w:hAnsi="Arial" w:cs="Arial"/>
          <w:sz w:val="24"/>
          <w:szCs w:val="24"/>
          <w:lang w:eastAsia="en-US"/>
        </w:rPr>
        <w:t>ausgeführt</w:t>
      </w:r>
      <w:r w:rsidRPr="00806CB9">
        <w:rPr>
          <w:rFonts w:ascii="Arial" w:eastAsia="Calibri" w:hAnsi="Arial" w:cs="Arial"/>
          <w:sz w:val="24"/>
          <w:szCs w:val="24"/>
          <w:lang w:eastAsia="en-US"/>
        </w:rPr>
        <w:t>, dass sich der Anteil derjenigen Absolventen der juristischen Staatsprüfungen in Berlin, die ein Ergebnis mit mindestens 9,0 Punkten („vollbefriedigend“) erzielt haben, in den letzten Jahren deutlich erhöht hat.</w:t>
      </w:r>
    </w:p>
    <w:p w14:paraId="1FB279C3" w14:textId="77777777"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7039D04" w14:textId="242BB2A5" w:rsidR="00210D3B" w:rsidRPr="000F675A"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06CB9">
        <w:rPr>
          <w:rFonts w:ascii="Arial" w:eastAsia="Calibri" w:hAnsi="Arial" w:cs="Arial"/>
          <w:sz w:val="24"/>
          <w:szCs w:val="24"/>
          <w:lang w:eastAsia="en-US"/>
        </w:rPr>
        <w:t xml:space="preserve">Das „große Prädikat“ im Ersten Juristischen Staatsexamen erreichten in Berlin im Jahr 2001 lediglich 21,18 % der erfolgreich geprüften Studierenden. Demgegenüber waren es in der Ersten Juristischen Prüfung im Jahr 2016 dann 49,50 % der erfolgreich geprüften Studierenden, mithin beinahe die Hälfte. Dabei hat sich auch die absolute Zahl der „Prädikatsjuristen“ deutlich von 162 Personen im Jahr 2001 auf 298 Personen im Jahr 2016 </w:t>
      </w:r>
      <w:r w:rsidRPr="000F675A">
        <w:rPr>
          <w:rFonts w:ascii="Arial" w:eastAsia="Calibri" w:hAnsi="Arial" w:cs="Arial"/>
          <w:sz w:val="24"/>
          <w:szCs w:val="24"/>
          <w:lang w:eastAsia="en-US"/>
        </w:rPr>
        <w:t>erhöht</w:t>
      </w:r>
      <w:r w:rsidR="000F675A" w:rsidRPr="000F675A">
        <w:rPr>
          <w:rFonts w:ascii="Arial" w:eastAsia="Calibri" w:hAnsi="Arial" w:cs="Arial"/>
          <w:sz w:val="24"/>
          <w:szCs w:val="24"/>
          <w:lang w:eastAsia="en-US"/>
        </w:rPr>
        <w:t>.</w:t>
      </w:r>
    </w:p>
    <w:p w14:paraId="10AB8B22" w14:textId="77777777"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0054150" w14:textId="34449188"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06CB9">
        <w:rPr>
          <w:rFonts w:ascii="Arial" w:eastAsia="Calibri" w:hAnsi="Arial" w:cs="Arial"/>
          <w:sz w:val="24"/>
          <w:szCs w:val="24"/>
          <w:lang w:eastAsia="en-US"/>
        </w:rPr>
        <w:t xml:space="preserve">Der Anteil der erfolgreichen Kandidatinnen und Kandidaten, die in der Zweiten Juristischen Staatsprüfung die Notenstufen „vollbefriedigend“ und besser erhielten, lag im Jahr 2001 bei 16,82 %, während im Jahr 2016 31,73 % der erfolgreichen Prüflinge in Berlin das </w:t>
      </w:r>
      <w:r w:rsidR="002B10BD">
        <w:rPr>
          <w:rFonts w:ascii="Arial" w:eastAsia="Calibri" w:hAnsi="Arial" w:cs="Arial"/>
          <w:sz w:val="24"/>
          <w:szCs w:val="24"/>
          <w:lang w:eastAsia="en-US"/>
        </w:rPr>
        <w:t>„</w:t>
      </w:r>
      <w:r w:rsidRPr="00806CB9">
        <w:rPr>
          <w:rFonts w:ascii="Arial" w:eastAsia="Calibri" w:hAnsi="Arial" w:cs="Arial"/>
          <w:sz w:val="24"/>
          <w:szCs w:val="24"/>
          <w:lang w:eastAsia="en-US"/>
        </w:rPr>
        <w:t>große Prädikat</w:t>
      </w:r>
      <w:r w:rsidR="002B10BD">
        <w:rPr>
          <w:rFonts w:ascii="Arial" w:eastAsia="Calibri" w:hAnsi="Arial" w:cs="Arial"/>
          <w:sz w:val="24"/>
          <w:szCs w:val="24"/>
          <w:lang w:eastAsia="en-US"/>
        </w:rPr>
        <w:t>“</w:t>
      </w:r>
      <w:r w:rsidRPr="00806CB9">
        <w:rPr>
          <w:rFonts w:ascii="Arial" w:eastAsia="Calibri" w:hAnsi="Arial" w:cs="Arial"/>
          <w:sz w:val="24"/>
          <w:szCs w:val="24"/>
          <w:lang w:eastAsia="en-US"/>
        </w:rPr>
        <w:t xml:space="preserve"> schafften.</w:t>
      </w:r>
    </w:p>
    <w:p w14:paraId="04A7691E" w14:textId="77777777" w:rsidR="00210D3B" w:rsidRPr="00806CB9"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5784937" w14:textId="7C35D70D" w:rsidR="00210D3B" w:rsidRPr="00062A0B" w:rsidRDefault="00806CB9"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06CB9">
        <w:rPr>
          <w:rFonts w:ascii="Arial" w:eastAsia="Calibri" w:hAnsi="Arial" w:cs="Arial"/>
          <w:sz w:val="24"/>
          <w:szCs w:val="24"/>
          <w:lang w:eastAsia="en-US"/>
        </w:rPr>
        <w:t>A</w:t>
      </w:r>
      <w:r w:rsidR="00210D3B" w:rsidRPr="00806CB9">
        <w:rPr>
          <w:rFonts w:ascii="Arial" w:eastAsia="Calibri" w:hAnsi="Arial" w:cs="Arial"/>
          <w:sz w:val="24"/>
          <w:szCs w:val="24"/>
          <w:lang w:eastAsia="en-US"/>
        </w:rPr>
        <w:t xml:space="preserve">uch die absolute Zahl der Assessorinnen und Assessoren mit „Prädikat“ </w:t>
      </w:r>
      <w:r w:rsidRPr="00806CB9">
        <w:rPr>
          <w:rFonts w:ascii="Arial" w:eastAsia="Calibri" w:hAnsi="Arial" w:cs="Arial"/>
          <w:sz w:val="24"/>
          <w:szCs w:val="24"/>
          <w:lang w:eastAsia="en-US"/>
        </w:rPr>
        <w:t xml:space="preserve">hat sich </w:t>
      </w:r>
      <w:r w:rsidR="00210D3B" w:rsidRPr="00806CB9">
        <w:rPr>
          <w:rFonts w:ascii="Arial" w:eastAsia="Calibri" w:hAnsi="Arial" w:cs="Arial"/>
          <w:sz w:val="24"/>
          <w:szCs w:val="24"/>
          <w:lang w:eastAsia="en-US"/>
        </w:rPr>
        <w:t xml:space="preserve">deutlich erhöht. Während im Jahr 2001 </w:t>
      </w:r>
      <w:r w:rsidR="00EB15F7">
        <w:rPr>
          <w:rFonts w:ascii="Arial" w:eastAsia="Calibri" w:hAnsi="Arial" w:cs="Arial"/>
          <w:sz w:val="24"/>
          <w:szCs w:val="24"/>
          <w:lang w:eastAsia="en-US"/>
        </w:rPr>
        <w:t xml:space="preserve">in Berlin </w:t>
      </w:r>
      <w:r w:rsidR="00210D3B" w:rsidRPr="00806CB9">
        <w:rPr>
          <w:rFonts w:ascii="Arial" w:eastAsia="Calibri" w:hAnsi="Arial" w:cs="Arial"/>
          <w:sz w:val="24"/>
          <w:szCs w:val="24"/>
          <w:lang w:eastAsia="en-US"/>
        </w:rPr>
        <w:t xml:space="preserve">lediglich 125 Personen </w:t>
      </w:r>
      <w:r w:rsidR="00EB15F7">
        <w:rPr>
          <w:rFonts w:ascii="Arial" w:eastAsia="Calibri" w:hAnsi="Arial" w:cs="Arial"/>
          <w:sz w:val="24"/>
          <w:szCs w:val="24"/>
          <w:lang w:eastAsia="en-US"/>
        </w:rPr>
        <w:t xml:space="preserve">im </w:t>
      </w:r>
      <w:r w:rsidR="00A15991">
        <w:rPr>
          <w:rFonts w:ascii="Arial" w:eastAsia="Calibri" w:hAnsi="Arial" w:cs="Arial"/>
          <w:sz w:val="24"/>
          <w:szCs w:val="24"/>
          <w:lang w:eastAsia="en-US"/>
        </w:rPr>
        <w:t xml:space="preserve">zweiten Staatsexamen </w:t>
      </w:r>
      <w:r w:rsidR="00210D3B" w:rsidRPr="00806CB9">
        <w:rPr>
          <w:rFonts w:ascii="Arial" w:eastAsia="Calibri" w:hAnsi="Arial" w:cs="Arial"/>
          <w:sz w:val="24"/>
          <w:szCs w:val="24"/>
          <w:lang w:eastAsia="en-US"/>
        </w:rPr>
        <w:t>9</w:t>
      </w:r>
      <w:r w:rsidR="00582D2A">
        <w:rPr>
          <w:rFonts w:ascii="Arial" w:eastAsia="Calibri" w:hAnsi="Arial" w:cs="Arial"/>
          <w:sz w:val="24"/>
          <w:szCs w:val="24"/>
          <w:lang w:eastAsia="en-US"/>
        </w:rPr>
        <w:t> </w:t>
      </w:r>
      <w:r w:rsidR="00210D3B" w:rsidRPr="00806CB9">
        <w:rPr>
          <w:rFonts w:ascii="Arial" w:eastAsia="Calibri" w:hAnsi="Arial" w:cs="Arial"/>
          <w:sz w:val="24"/>
          <w:szCs w:val="24"/>
          <w:lang w:eastAsia="en-US"/>
        </w:rPr>
        <w:t>Punkte oder mehr erzielten, waren es 250 Personen im Jahr 2016</w:t>
      </w:r>
      <w:r w:rsidRPr="00806CB9">
        <w:rPr>
          <w:rFonts w:ascii="Arial" w:eastAsia="Calibri" w:hAnsi="Arial" w:cs="Arial"/>
          <w:sz w:val="24"/>
          <w:szCs w:val="24"/>
          <w:lang w:eastAsia="en-US"/>
        </w:rPr>
        <w:t>, und d</w:t>
      </w:r>
      <w:r>
        <w:rPr>
          <w:rFonts w:ascii="Arial" w:eastAsia="Calibri" w:hAnsi="Arial" w:cs="Arial"/>
          <w:sz w:val="24"/>
          <w:szCs w:val="24"/>
          <w:lang w:eastAsia="en-US"/>
        </w:rPr>
        <w:t>ies</w:t>
      </w:r>
      <w:r w:rsidRPr="00806CB9">
        <w:rPr>
          <w:rFonts w:ascii="Arial" w:eastAsia="Calibri" w:hAnsi="Arial" w:cs="Arial"/>
          <w:sz w:val="24"/>
          <w:szCs w:val="24"/>
          <w:lang w:eastAsia="en-US"/>
        </w:rPr>
        <w:t xml:space="preserve"> </w:t>
      </w:r>
      <w:r>
        <w:rPr>
          <w:rFonts w:ascii="Arial" w:eastAsia="Calibri" w:hAnsi="Arial" w:cs="Arial"/>
          <w:sz w:val="24"/>
          <w:szCs w:val="24"/>
          <w:lang w:eastAsia="en-US"/>
        </w:rPr>
        <w:t>bei</w:t>
      </w:r>
      <w:r w:rsidRPr="00806CB9">
        <w:rPr>
          <w:rFonts w:ascii="Arial" w:eastAsia="Calibri" w:hAnsi="Arial" w:cs="Arial"/>
          <w:sz w:val="24"/>
          <w:szCs w:val="24"/>
          <w:lang w:eastAsia="en-US"/>
        </w:rPr>
        <w:t xml:space="preserve"> weitgehend stabilen Zahl</w:t>
      </w:r>
      <w:r w:rsidR="00B7796B">
        <w:rPr>
          <w:rFonts w:ascii="Arial" w:eastAsia="Calibri" w:hAnsi="Arial" w:cs="Arial"/>
          <w:sz w:val="24"/>
          <w:szCs w:val="24"/>
          <w:lang w:eastAsia="en-US"/>
        </w:rPr>
        <w:t>en</w:t>
      </w:r>
      <w:r w:rsidRPr="00806CB9">
        <w:rPr>
          <w:rFonts w:ascii="Arial" w:eastAsia="Calibri" w:hAnsi="Arial" w:cs="Arial"/>
          <w:sz w:val="24"/>
          <w:szCs w:val="24"/>
          <w:lang w:eastAsia="en-US"/>
        </w:rPr>
        <w:t xml:space="preserve"> der in Berlin ausgebildeten Referendarinnen und Referendare</w:t>
      </w:r>
      <w:r w:rsidR="00210D3B" w:rsidRPr="00806CB9">
        <w:rPr>
          <w:rFonts w:ascii="Arial" w:eastAsia="Calibri" w:hAnsi="Arial" w:cs="Arial"/>
          <w:sz w:val="24"/>
          <w:szCs w:val="24"/>
          <w:lang w:eastAsia="en-US"/>
        </w:rPr>
        <w:t xml:space="preserve">. Der „Pool“ der Juristinnen und Juristen mit „Prädikat“, der dem Arbeitsmarkt in einem Kalenderjahr zur Verfügung steht, hat sich mithin in </w:t>
      </w:r>
      <w:r w:rsidR="00210D3B" w:rsidRPr="00062A0B">
        <w:rPr>
          <w:rFonts w:ascii="Arial" w:eastAsia="Calibri" w:hAnsi="Arial" w:cs="Arial"/>
          <w:sz w:val="24"/>
          <w:szCs w:val="24"/>
          <w:lang w:eastAsia="en-US"/>
        </w:rPr>
        <w:t>den letzten Jahren verdoppelt</w:t>
      </w:r>
      <w:r w:rsidR="00062A0B" w:rsidRPr="00062A0B">
        <w:rPr>
          <w:rFonts w:ascii="Arial" w:eastAsia="Calibri" w:hAnsi="Arial" w:cs="Arial"/>
          <w:sz w:val="24"/>
          <w:szCs w:val="24"/>
          <w:lang w:eastAsia="en-US"/>
        </w:rPr>
        <w:t>.</w:t>
      </w:r>
    </w:p>
    <w:p w14:paraId="3DAFF390" w14:textId="77777777" w:rsidR="00210D3B" w:rsidRPr="00062A0B" w:rsidRDefault="00210D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8BD4C47" w14:textId="61BDE58B" w:rsidR="003239E1" w:rsidRPr="00F8032F" w:rsidRDefault="00806CB9"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062A0B">
        <w:rPr>
          <w:rFonts w:ascii="Arial" w:eastAsia="Calibri" w:hAnsi="Arial" w:cs="Arial"/>
          <w:sz w:val="24"/>
          <w:szCs w:val="24"/>
          <w:lang w:eastAsia="en-US"/>
        </w:rPr>
        <w:t>Vor diesem Hintergrund zeigt d</w:t>
      </w:r>
      <w:r w:rsidR="003239E1" w:rsidRPr="00062A0B">
        <w:rPr>
          <w:rFonts w:ascii="Arial" w:eastAsia="Calibri" w:hAnsi="Arial" w:cs="Arial"/>
          <w:sz w:val="24"/>
          <w:szCs w:val="24"/>
          <w:lang w:eastAsia="en-US"/>
        </w:rPr>
        <w:t xml:space="preserve">ie Absenkung </w:t>
      </w:r>
      <w:r w:rsidR="003239E1" w:rsidRPr="003239E1">
        <w:rPr>
          <w:rFonts w:ascii="Arial" w:eastAsia="Calibri" w:hAnsi="Arial" w:cs="Arial"/>
          <w:sz w:val="24"/>
          <w:szCs w:val="24"/>
          <w:lang w:eastAsia="en-US"/>
        </w:rPr>
        <w:t xml:space="preserve">der Einstellungsanforderungen, dass die Alimentation ihre qualitätssichernde Funktion, durchgehend überdurchschnittliche Kräfte zum </w:t>
      </w:r>
      <w:r w:rsidR="003239E1" w:rsidRPr="00F8032F">
        <w:rPr>
          <w:rFonts w:ascii="Arial" w:eastAsia="Calibri" w:hAnsi="Arial" w:cs="Arial"/>
          <w:sz w:val="24"/>
          <w:szCs w:val="24"/>
          <w:lang w:eastAsia="en-US"/>
        </w:rPr>
        <w:t xml:space="preserve">Eintritt in den höheren Justizdienst in Berlin zu bewegen, nicht (mehr) erfüllt hat. </w:t>
      </w:r>
    </w:p>
    <w:p w14:paraId="64672C53" w14:textId="77777777" w:rsidR="003239E1" w:rsidRPr="00F8032F"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0A40709" w14:textId="6608D6F5" w:rsidR="00ED0DBA" w:rsidRPr="005670BA" w:rsidRDefault="00ED0DBA"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ED0DBA">
        <w:rPr>
          <w:rFonts w:ascii="Arial" w:eastAsia="Calibri" w:hAnsi="Arial" w:cs="Arial"/>
          <w:sz w:val="24"/>
          <w:szCs w:val="24"/>
          <w:lang w:eastAsia="en-US"/>
        </w:rPr>
        <w:t xml:space="preserve">In dem Verfahren 2 BvL 4/18 hat das Bundesverfassungsgericht (Beschl. v. 4. Mai 2020 – Rn. 173) zu der Absenkung der Berliner Einstellungsanforderungen für die Jahre 2009 bis 2015 ausgeführt, die Absenkung der formalen Anforderungen sei nach Darlegung des Landes Berlin nicht aus der Not heraus erfolgt, sondern folge der Erkenntnis, dass man nicht von vornherein auf die Bewerbung einzelner hervorragend geeigneter Bewerber mit befriedigendem Examen verzichten wolle, deren Eignung erst im Rahmen des strukturierten Auswahlgesprächs zutage trete. Hiergegen sprach aus Sicht des Bundesverfassungsgerichts, dass es dann zu erwarten gewesen wäre, dass in allen Jahren Bewerber ohne Prädikatsexamen in proportionalem Verhältnis zur Zahl der besetzten Stellen zum Zuge kommen würden. Das Land habe indes in den Jahren 2009 bis 2011 und 2014, in denen mehr als zwanzig Stellen zu besetzen gewesen seien, in größerem Umfang Bewerber einstellen müssen, die nur ein befriedigendes Ergebnis aufzuweisen hatten. Dabei habe die Zahl der Absolventen, die in der Zweiten Staatsprüfung ein Prädikatsexamen erreicht hätten, auch in diesen Jahren die </w:t>
      </w:r>
      <w:r w:rsidRPr="00ED0DBA">
        <w:rPr>
          <w:rFonts w:ascii="Arial" w:eastAsia="Calibri" w:hAnsi="Arial" w:cs="Arial"/>
          <w:sz w:val="24"/>
          <w:szCs w:val="24"/>
          <w:lang w:eastAsia="en-US"/>
        </w:rPr>
        <w:lastRenderedPageBreak/>
        <w:t xml:space="preserve">Stellenzahl um ein Mehrfaches überstiegen. Davon, dass es dem Land Berlin gelungen wäre, durchgehend überdurchschnittlich qualifizierte Kräfte für den höheren Justizdienst anzuwerben, könne daher keine Rede sein (vgl. BVerfG, Beschl. v. 4. Mai 2020 – 2 BvL 4/18 – juris Rn. 173). Es liegen keine Anhaltspunkte dafür vor, dass sich diese Situation in den hier streitgegenständlichen Folgejahren verbessert hat. </w:t>
      </w:r>
    </w:p>
    <w:p w14:paraId="58F5AEFB" w14:textId="620891D4" w:rsidR="003239E1" w:rsidRPr="005670BA"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446B2CA" w14:textId="0FA23EF8" w:rsid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5670BA">
        <w:rPr>
          <w:rFonts w:ascii="Arial" w:eastAsia="Calibri" w:hAnsi="Arial" w:cs="Arial"/>
          <w:sz w:val="24"/>
          <w:szCs w:val="24"/>
          <w:lang w:eastAsia="en-US"/>
        </w:rPr>
        <w:t xml:space="preserve">bb) Gegenüberstellungen mit Vergleichsgruppen </w:t>
      </w:r>
      <w:r w:rsidRPr="003239E1">
        <w:rPr>
          <w:rFonts w:ascii="Arial" w:eastAsia="Calibri" w:hAnsi="Arial" w:cs="Arial"/>
          <w:sz w:val="24"/>
          <w:szCs w:val="24"/>
          <w:lang w:eastAsia="en-US"/>
        </w:rPr>
        <w:t xml:space="preserve">außerhalb des öffentlichen Dienstes führen im Rahmen der Gesamtabwägung zu keiner anderen Bewertung. Das Statistische Bundesamt hat im Ausgangsverfahren </w:t>
      </w:r>
      <w:r w:rsidR="00F32B86">
        <w:rPr>
          <w:rFonts w:ascii="Arial" w:eastAsia="Calibri" w:hAnsi="Arial" w:cs="Arial"/>
          <w:sz w:val="24"/>
          <w:szCs w:val="24"/>
          <w:lang w:eastAsia="en-US"/>
        </w:rPr>
        <w:t xml:space="preserve">zu dem vom Bundesverfassungsgericht entschiedenen Verfahren 2 BvL 4/18 </w:t>
      </w:r>
      <w:r w:rsidR="00A406F6">
        <w:rPr>
          <w:rFonts w:ascii="Arial" w:eastAsia="Calibri" w:hAnsi="Arial" w:cs="Arial"/>
          <w:sz w:val="24"/>
          <w:szCs w:val="24"/>
          <w:lang w:eastAsia="en-US"/>
        </w:rPr>
        <w:t xml:space="preserve">(Rn. 174) </w:t>
      </w:r>
      <w:r w:rsidRPr="003239E1">
        <w:rPr>
          <w:rFonts w:ascii="Arial" w:eastAsia="Calibri" w:hAnsi="Arial" w:cs="Arial"/>
          <w:sz w:val="24"/>
          <w:szCs w:val="24"/>
          <w:lang w:eastAsia="en-US"/>
        </w:rPr>
        <w:t>eine Auskunft zum Vergleich der Besoldung von Richtern und Staatsanwälten in Berlin mit den Gehältern erteilt, die mit vergleichbarem Qualifikationsniveau in der Privatwirtschaft erzielt worden sind. Danach hatten im Jahr 2006 86 % der vergleichbaren Arbeitnehmer in der Privatwirtschaft einen höheren Verdienst als ein Berufsanfänger der Besoldungsgruppe R 1; im Jahr 2010 waren es 92 %. Selbst wenn man die Besoldung der Endstufe zugrunde legt, die nach mehr als 20 Berufsjahren erreicht wird, verfügten im Jahr 2006 40 % der vergleichbaren Arbeitnehmer in der Privatwirtschaft über ein höheres Einkommen; im Jahr 2010 war der Anteil auf 51 % gestiegen. In der Vergleichsgruppe der Angestellten mit juristischen Berufen verdienten 85 % (2006) beziehungsweise 93 % (2010) mehr als ein Berufsanfänger im Bereich der Justiz. In 55 % (2006) beziehungsweise 65 % (2010) der Fälle lag das Einkommen auch über den Bezügen in der Endstufe der Besoldungsgruppe R 1.</w:t>
      </w:r>
      <w:r w:rsidR="00F32B86">
        <w:rPr>
          <w:rFonts w:ascii="Arial" w:eastAsia="Calibri" w:hAnsi="Arial" w:cs="Arial"/>
          <w:sz w:val="24"/>
          <w:szCs w:val="24"/>
          <w:lang w:eastAsia="en-US"/>
        </w:rPr>
        <w:t xml:space="preserve"> </w:t>
      </w:r>
      <w:r w:rsidR="00A406F6">
        <w:rPr>
          <w:rFonts w:ascii="Arial" w:eastAsia="Calibri" w:hAnsi="Arial" w:cs="Arial"/>
          <w:sz w:val="24"/>
          <w:szCs w:val="24"/>
          <w:lang w:eastAsia="en-US"/>
        </w:rPr>
        <w:t>Für ein Ende d</w:t>
      </w:r>
      <w:r w:rsidR="00F32B86">
        <w:rPr>
          <w:rFonts w:ascii="Arial" w:eastAsia="Calibri" w:hAnsi="Arial" w:cs="Arial"/>
          <w:sz w:val="24"/>
          <w:szCs w:val="24"/>
          <w:lang w:eastAsia="en-US"/>
        </w:rPr>
        <w:t>iese</w:t>
      </w:r>
      <w:r w:rsidR="00A406F6">
        <w:rPr>
          <w:rFonts w:ascii="Arial" w:eastAsia="Calibri" w:hAnsi="Arial" w:cs="Arial"/>
          <w:sz w:val="24"/>
          <w:szCs w:val="24"/>
          <w:lang w:eastAsia="en-US"/>
        </w:rPr>
        <w:t>r</w:t>
      </w:r>
      <w:r w:rsidR="00F32B86">
        <w:rPr>
          <w:rFonts w:ascii="Arial" w:eastAsia="Calibri" w:hAnsi="Arial" w:cs="Arial"/>
          <w:sz w:val="24"/>
          <w:szCs w:val="24"/>
          <w:lang w:eastAsia="en-US"/>
        </w:rPr>
        <w:t xml:space="preserve"> Entwicklung </w:t>
      </w:r>
      <w:r w:rsidR="00A406F6">
        <w:rPr>
          <w:rFonts w:ascii="Arial" w:eastAsia="Calibri" w:hAnsi="Arial" w:cs="Arial"/>
          <w:sz w:val="24"/>
          <w:szCs w:val="24"/>
          <w:lang w:eastAsia="en-US"/>
        </w:rPr>
        <w:t>in den Jahren 2016 bis 2020 gibt es keine Anhaltspunkte</w:t>
      </w:r>
      <w:r w:rsidR="00F32B86">
        <w:rPr>
          <w:rFonts w:ascii="Arial" w:eastAsia="Calibri" w:hAnsi="Arial" w:cs="Arial"/>
          <w:sz w:val="24"/>
          <w:szCs w:val="24"/>
          <w:lang w:eastAsia="en-US"/>
        </w:rPr>
        <w:t>.</w:t>
      </w:r>
    </w:p>
    <w:p w14:paraId="2E3459B5" w14:textId="77777777" w:rsidR="00D049AE" w:rsidRDefault="00D049AE"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D7A16A3" w14:textId="7B524AE8" w:rsid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D049AE">
        <w:rPr>
          <w:rFonts w:ascii="Arial" w:eastAsia="Calibri" w:hAnsi="Arial" w:cs="Arial"/>
          <w:sz w:val="24"/>
          <w:szCs w:val="24"/>
          <w:lang w:eastAsia="en-US"/>
        </w:rPr>
        <w:t xml:space="preserve">Richter und </w:t>
      </w:r>
      <w:r w:rsidRPr="000D421A">
        <w:rPr>
          <w:rFonts w:ascii="Arial" w:eastAsia="Calibri" w:hAnsi="Arial" w:cs="Arial"/>
          <w:sz w:val="24"/>
          <w:szCs w:val="24"/>
          <w:lang w:eastAsia="en-US"/>
        </w:rPr>
        <w:t xml:space="preserve">Staatsanwälte verlieren </w:t>
      </w:r>
      <w:r w:rsidR="0065511B" w:rsidRPr="000D421A">
        <w:rPr>
          <w:rFonts w:ascii="Arial" w:eastAsia="Calibri" w:hAnsi="Arial" w:cs="Arial"/>
          <w:sz w:val="24"/>
          <w:szCs w:val="24"/>
          <w:lang w:eastAsia="en-US"/>
        </w:rPr>
        <w:t xml:space="preserve">nach Veröffentlichungen des Deutschen Richterbundes </w:t>
      </w:r>
      <w:r w:rsidR="00810932" w:rsidRPr="000D421A">
        <w:rPr>
          <w:rFonts w:ascii="Arial" w:eastAsia="Calibri" w:hAnsi="Arial" w:cs="Arial"/>
          <w:sz w:val="24"/>
          <w:szCs w:val="24"/>
          <w:lang w:eastAsia="en-US"/>
        </w:rPr>
        <w:t xml:space="preserve">zudem insbesondere </w:t>
      </w:r>
      <w:r w:rsidRPr="000D421A">
        <w:rPr>
          <w:rFonts w:ascii="Arial" w:eastAsia="Calibri" w:hAnsi="Arial" w:cs="Arial"/>
          <w:sz w:val="24"/>
          <w:szCs w:val="24"/>
          <w:lang w:eastAsia="en-US"/>
        </w:rPr>
        <w:t>im Gehaltsvergleich mit Juristen in Unternehmen und großen Anwaltskanzleien seit Jahren den Anschluss.</w:t>
      </w:r>
    </w:p>
    <w:p w14:paraId="18A138EC" w14:textId="77777777" w:rsidR="00D049AE" w:rsidRP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FC35624" w14:textId="6B1F6AE9" w:rsid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0D421A">
        <w:rPr>
          <w:rFonts w:ascii="Arial" w:eastAsia="Calibri" w:hAnsi="Arial" w:cs="Arial"/>
          <w:sz w:val="24"/>
          <w:szCs w:val="24"/>
          <w:lang w:eastAsia="en-US"/>
        </w:rPr>
        <w:t>Die Gehälter von Juristen ohne Führungsrolle in Wirtschaft und in Kanzleien habe</w:t>
      </w:r>
      <w:r w:rsidR="00C46E6F" w:rsidRPr="000D421A">
        <w:rPr>
          <w:rFonts w:ascii="Arial" w:eastAsia="Calibri" w:hAnsi="Arial" w:cs="Arial"/>
          <w:sz w:val="24"/>
          <w:szCs w:val="24"/>
          <w:lang w:eastAsia="en-US"/>
        </w:rPr>
        <w:t>n</w:t>
      </w:r>
      <w:r w:rsidRPr="000D421A">
        <w:rPr>
          <w:rFonts w:ascii="Arial" w:eastAsia="Calibri" w:hAnsi="Arial" w:cs="Arial"/>
          <w:sz w:val="24"/>
          <w:szCs w:val="24"/>
          <w:lang w:eastAsia="en-US"/>
        </w:rPr>
        <w:t xml:space="preserve"> sich </w:t>
      </w:r>
      <w:r w:rsidR="0065511B" w:rsidRPr="000D421A">
        <w:rPr>
          <w:rFonts w:ascii="Arial" w:eastAsia="Calibri" w:hAnsi="Arial" w:cs="Arial"/>
          <w:sz w:val="24"/>
          <w:szCs w:val="24"/>
          <w:lang w:eastAsia="en-US"/>
        </w:rPr>
        <w:t>nach</w:t>
      </w:r>
      <w:r w:rsidR="00C46E6F" w:rsidRPr="000D421A">
        <w:rPr>
          <w:rFonts w:ascii="Arial" w:eastAsia="Calibri" w:hAnsi="Arial" w:cs="Arial"/>
          <w:sz w:val="24"/>
          <w:szCs w:val="24"/>
          <w:lang w:eastAsia="en-US"/>
        </w:rPr>
        <w:t xml:space="preserve"> diesen Angaben</w:t>
      </w:r>
      <w:r w:rsidR="0065511B" w:rsidRPr="000D421A">
        <w:rPr>
          <w:rFonts w:ascii="Arial" w:eastAsia="Calibri" w:hAnsi="Arial" w:cs="Arial"/>
          <w:sz w:val="24"/>
          <w:szCs w:val="24"/>
          <w:lang w:eastAsia="en-US"/>
        </w:rPr>
        <w:t xml:space="preserve"> </w:t>
      </w:r>
      <w:r w:rsidRPr="000D421A">
        <w:rPr>
          <w:rFonts w:ascii="Arial" w:eastAsia="Calibri" w:hAnsi="Arial" w:cs="Arial"/>
          <w:sz w:val="24"/>
          <w:szCs w:val="24"/>
          <w:lang w:eastAsia="en-US"/>
        </w:rPr>
        <w:t xml:space="preserve">von 1992 bis 2018 etwa verdoppelt. Ein vergleichbarer Prädikatsjurist in einem Unternehmen verdiene 2018 im Mittel 87.000 </w:t>
      </w:r>
      <w:r w:rsidR="00996C9D" w:rsidRPr="000D421A">
        <w:rPr>
          <w:rFonts w:ascii="Arial" w:eastAsia="Calibri" w:hAnsi="Arial" w:cs="Arial"/>
          <w:sz w:val="24"/>
          <w:szCs w:val="24"/>
          <w:lang w:eastAsia="en-US"/>
        </w:rPr>
        <w:t>€</w:t>
      </w:r>
      <w:r w:rsidRPr="000D421A">
        <w:rPr>
          <w:rFonts w:ascii="Arial" w:eastAsia="Calibri" w:hAnsi="Arial" w:cs="Arial"/>
          <w:sz w:val="24"/>
          <w:szCs w:val="24"/>
          <w:lang w:eastAsia="en-US"/>
        </w:rPr>
        <w:t xml:space="preserve"> jährlich, während ein Anwalt in einer</w:t>
      </w:r>
      <w:r w:rsidRPr="00D049AE">
        <w:rPr>
          <w:rFonts w:ascii="Arial" w:eastAsia="Calibri" w:hAnsi="Arial" w:cs="Arial"/>
          <w:sz w:val="24"/>
          <w:szCs w:val="24"/>
          <w:lang w:eastAsia="en-US"/>
        </w:rPr>
        <w:t xml:space="preserve"> Großkanzlei auf der ersten Karrierestufe im Schnitt sogar 118.000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pro Jahr </w:t>
      </w:r>
      <w:r w:rsidR="007948E6">
        <w:rPr>
          <w:rFonts w:ascii="Arial" w:eastAsia="Calibri" w:hAnsi="Arial" w:cs="Arial"/>
          <w:sz w:val="24"/>
          <w:szCs w:val="24"/>
          <w:lang w:eastAsia="en-US"/>
        </w:rPr>
        <w:t>erhalte</w:t>
      </w:r>
      <w:r w:rsidRPr="00D049AE">
        <w:rPr>
          <w:rFonts w:ascii="Arial" w:eastAsia="Calibri" w:hAnsi="Arial" w:cs="Arial"/>
          <w:sz w:val="24"/>
          <w:szCs w:val="24"/>
          <w:lang w:eastAsia="en-US"/>
        </w:rPr>
        <w:t>. In der Justiz betr</w:t>
      </w:r>
      <w:r w:rsidR="007948E6">
        <w:rPr>
          <w:rFonts w:ascii="Arial" w:eastAsia="Calibri" w:hAnsi="Arial" w:cs="Arial"/>
          <w:sz w:val="24"/>
          <w:szCs w:val="24"/>
          <w:lang w:eastAsia="en-US"/>
        </w:rPr>
        <w:t>a</w:t>
      </w:r>
      <w:r w:rsidRPr="00D049AE">
        <w:rPr>
          <w:rFonts w:ascii="Arial" w:eastAsia="Calibri" w:hAnsi="Arial" w:cs="Arial"/>
          <w:sz w:val="24"/>
          <w:szCs w:val="24"/>
          <w:lang w:eastAsia="en-US"/>
        </w:rPr>
        <w:t>g</w:t>
      </w:r>
      <w:r w:rsidR="007948E6">
        <w:rPr>
          <w:rFonts w:ascii="Arial" w:eastAsia="Calibri" w:hAnsi="Arial" w:cs="Arial"/>
          <w:sz w:val="24"/>
          <w:szCs w:val="24"/>
          <w:lang w:eastAsia="en-US"/>
        </w:rPr>
        <w:t>e</w:t>
      </w:r>
      <w:r w:rsidRPr="00D049AE">
        <w:rPr>
          <w:rFonts w:ascii="Arial" w:eastAsia="Calibri" w:hAnsi="Arial" w:cs="Arial"/>
          <w:sz w:val="24"/>
          <w:szCs w:val="24"/>
          <w:lang w:eastAsia="en-US"/>
        </w:rPr>
        <w:t xml:space="preserve"> der Zuwachs bei den Einkommen für Berufseinsteiger zwischen 1992 und 2017 lediglich 50 Prozent. Einstiegsgehälter für ledige Richter oder Staatsanwälte betr</w:t>
      </w:r>
      <w:r w:rsidR="007948E6">
        <w:rPr>
          <w:rFonts w:ascii="Arial" w:eastAsia="Calibri" w:hAnsi="Arial" w:cs="Arial"/>
          <w:sz w:val="24"/>
          <w:szCs w:val="24"/>
          <w:lang w:eastAsia="en-US"/>
        </w:rPr>
        <w:t>ü</w:t>
      </w:r>
      <w:r w:rsidRPr="00D049AE">
        <w:rPr>
          <w:rFonts w:ascii="Arial" w:eastAsia="Calibri" w:hAnsi="Arial" w:cs="Arial"/>
          <w:sz w:val="24"/>
          <w:szCs w:val="24"/>
          <w:lang w:eastAsia="en-US"/>
        </w:rPr>
        <w:t xml:space="preserve">gen im bundesweiten Durchschnitt im Jahr 2018 rund 48.000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brutto im Jahr. </w:t>
      </w:r>
    </w:p>
    <w:p w14:paraId="65C1E5D7" w14:textId="77777777" w:rsidR="0011370E" w:rsidRPr="00D049AE" w:rsidRDefault="0011370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73CC5E45" w14:textId="7E517C07" w:rsid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D049AE">
        <w:rPr>
          <w:rFonts w:ascii="Arial" w:eastAsia="Calibri" w:hAnsi="Arial" w:cs="Arial"/>
          <w:sz w:val="24"/>
          <w:szCs w:val="24"/>
          <w:lang w:eastAsia="en-US"/>
        </w:rPr>
        <w:t>Der 25-Jahres-Vergleich verdeutlich</w:t>
      </w:r>
      <w:r w:rsidR="007948E6">
        <w:rPr>
          <w:rFonts w:ascii="Arial" w:eastAsia="Calibri" w:hAnsi="Arial" w:cs="Arial"/>
          <w:sz w:val="24"/>
          <w:szCs w:val="24"/>
          <w:lang w:eastAsia="en-US"/>
        </w:rPr>
        <w:t>e</w:t>
      </w:r>
      <w:r w:rsidRPr="00D049AE">
        <w:rPr>
          <w:rFonts w:ascii="Arial" w:eastAsia="Calibri" w:hAnsi="Arial" w:cs="Arial"/>
          <w:sz w:val="24"/>
          <w:szCs w:val="24"/>
          <w:lang w:eastAsia="en-US"/>
        </w:rPr>
        <w:t xml:space="preserve"> die Entwicklung: Verdienten junge Richter und Staatsanwälte 1992 noch 10.000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weniger im Jahr als vergleichbare Juristen in Unternehmen, </w:t>
      </w:r>
      <w:r w:rsidR="007948E6">
        <w:rPr>
          <w:rFonts w:ascii="Arial" w:eastAsia="Calibri" w:hAnsi="Arial" w:cs="Arial"/>
          <w:sz w:val="24"/>
          <w:szCs w:val="24"/>
          <w:lang w:eastAsia="en-US"/>
        </w:rPr>
        <w:t>habe</w:t>
      </w:r>
      <w:r w:rsidRPr="00D049AE">
        <w:rPr>
          <w:rFonts w:ascii="Arial" w:eastAsia="Calibri" w:hAnsi="Arial" w:cs="Arial"/>
          <w:sz w:val="24"/>
          <w:szCs w:val="24"/>
          <w:lang w:eastAsia="en-US"/>
        </w:rPr>
        <w:t xml:space="preserve"> die Differenz im Jahr 2018 fast 40.000 </w:t>
      </w:r>
      <w:r w:rsidR="00996C9D">
        <w:rPr>
          <w:rFonts w:ascii="Arial" w:eastAsia="Calibri" w:hAnsi="Arial" w:cs="Arial"/>
          <w:sz w:val="24"/>
          <w:szCs w:val="24"/>
          <w:lang w:eastAsia="en-US"/>
        </w:rPr>
        <w:t>€</w:t>
      </w:r>
      <w:r w:rsidR="007948E6">
        <w:rPr>
          <w:rFonts w:ascii="Arial" w:eastAsia="Calibri" w:hAnsi="Arial" w:cs="Arial"/>
          <w:sz w:val="24"/>
          <w:szCs w:val="24"/>
          <w:lang w:eastAsia="en-US"/>
        </w:rPr>
        <w:t xml:space="preserve"> betragen</w:t>
      </w:r>
      <w:r w:rsidRPr="00D049AE">
        <w:rPr>
          <w:rFonts w:ascii="Arial" w:eastAsia="Calibri" w:hAnsi="Arial" w:cs="Arial"/>
          <w:sz w:val="24"/>
          <w:szCs w:val="24"/>
          <w:lang w:eastAsia="en-US"/>
        </w:rPr>
        <w:t xml:space="preserve">. Hinkten die Einstiegsgehälter der Justizjuristen vor 25 Jahren knapp 30.000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hinter den Einkünften in Großkanzleien her, </w:t>
      </w:r>
      <w:r w:rsidR="007948E6">
        <w:rPr>
          <w:rFonts w:ascii="Arial" w:eastAsia="Calibri" w:hAnsi="Arial" w:cs="Arial"/>
          <w:sz w:val="24"/>
          <w:szCs w:val="24"/>
          <w:lang w:eastAsia="en-US"/>
        </w:rPr>
        <w:t>sei</w:t>
      </w:r>
      <w:r w:rsidRPr="00D049AE">
        <w:rPr>
          <w:rFonts w:ascii="Arial" w:eastAsia="Calibri" w:hAnsi="Arial" w:cs="Arial"/>
          <w:sz w:val="24"/>
          <w:szCs w:val="24"/>
          <w:lang w:eastAsia="en-US"/>
        </w:rPr>
        <w:t xml:space="preserve"> der Gehaltsvorsprung der Anwälte bis zum Jahr 2018 auf knapp 70.000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pro Jahr gewachsen. </w:t>
      </w:r>
    </w:p>
    <w:p w14:paraId="131BDBCD" w14:textId="77777777" w:rsidR="0011370E" w:rsidRPr="00D049AE" w:rsidRDefault="0011370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24969F1" w14:textId="3245F1A4" w:rsid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D049AE">
        <w:rPr>
          <w:rFonts w:ascii="Arial" w:eastAsia="Calibri" w:hAnsi="Arial" w:cs="Arial"/>
          <w:sz w:val="24"/>
          <w:szCs w:val="24"/>
          <w:lang w:eastAsia="en-US"/>
        </w:rPr>
        <w:t>Die Schere öffne sich im Berufsleben immer weiter, da die Gehälter bei Anwälten und Unternehmensjuristen mit zunehmender Erfahrung und Verantwortung stärker sti</w:t>
      </w:r>
      <w:r w:rsidR="00C46E6F">
        <w:rPr>
          <w:rFonts w:ascii="Arial" w:eastAsia="Calibri" w:hAnsi="Arial" w:cs="Arial"/>
          <w:sz w:val="24"/>
          <w:szCs w:val="24"/>
          <w:lang w:eastAsia="en-US"/>
        </w:rPr>
        <w:t>e</w:t>
      </w:r>
      <w:r w:rsidRPr="00D049AE">
        <w:rPr>
          <w:rFonts w:ascii="Arial" w:eastAsia="Calibri" w:hAnsi="Arial" w:cs="Arial"/>
          <w:sz w:val="24"/>
          <w:szCs w:val="24"/>
          <w:lang w:eastAsia="en-US"/>
        </w:rPr>
        <w:t>ge</w:t>
      </w:r>
      <w:r w:rsidR="00C46E6F">
        <w:rPr>
          <w:rFonts w:ascii="Arial" w:eastAsia="Calibri" w:hAnsi="Arial" w:cs="Arial"/>
          <w:sz w:val="24"/>
          <w:szCs w:val="24"/>
          <w:lang w:eastAsia="en-US"/>
        </w:rPr>
        <w:t>n</w:t>
      </w:r>
      <w:r w:rsidR="000A3AE5">
        <w:rPr>
          <w:rFonts w:ascii="Arial" w:eastAsia="Calibri" w:hAnsi="Arial" w:cs="Arial"/>
          <w:sz w:val="24"/>
          <w:szCs w:val="24"/>
          <w:lang w:eastAsia="en-US"/>
        </w:rPr>
        <w:t>,</w:t>
      </w:r>
      <w:r w:rsidRPr="00D049AE">
        <w:rPr>
          <w:rFonts w:ascii="Arial" w:eastAsia="Calibri" w:hAnsi="Arial" w:cs="Arial"/>
          <w:sz w:val="24"/>
          <w:szCs w:val="24"/>
          <w:lang w:eastAsia="en-US"/>
        </w:rPr>
        <w:t xml:space="preserve"> als sie bei </w:t>
      </w:r>
      <w:r w:rsidRPr="00D049AE">
        <w:rPr>
          <w:rFonts w:ascii="Arial" w:eastAsia="Calibri" w:hAnsi="Arial" w:cs="Arial"/>
          <w:sz w:val="24"/>
          <w:szCs w:val="24"/>
          <w:lang w:eastAsia="en-US"/>
        </w:rPr>
        <w:lastRenderedPageBreak/>
        <w:t>Richtern und Staatsanwälten wachsen</w:t>
      </w:r>
      <w:r w:rsidR="007948E6">
        <w:rPr>
          <w:rFonts w:ascii="Arial" w:eastAsia="Calibri" w:hAnsi="Arial" w:cs="Arial"/>
          <w:sz w:val="24"/>
          <w:szCs w:val="24"/>
          <w:lang w:eastAsia="en-US"/>
        </w:rPr>
        <w:t xml:space="preserve"> würden</w:t>
      </w:r>
      <w:r w:rsidRPr="00D049AE">
        <w:rPr>
          <w:rFonts w:ascii="Arial" w:eastAsia="Calibri" w:hAnsi="Arial" w:cs="Arial"/>
          <w:sz w:val="24"/>
          <w:szCs w:val="24"/>
          <w:lang w:eastAsia="en-US"/>
        </w:rPr>
        <w:t xml:space="preserve">. So </w:t>
      </w:r>
      <w:r w:rsidR="007948E6">
        <w:rPr>
          <w:rFonts w:ascii="Arial" w:eastAsia="Calibri" w:hAnsi="Arial" w:cs="Arial"/>
          <w:sz w:val="24"/>
          <w:szCs w:val="24"/>
          <w:lang w:eastAsia="en-US"/>
        </w:rPr>
        <w:t>hätten</w:t>
      </w:r>
      <w:r w:rsidRPr="00D049AE">
        <w:rPr>
          <w:rFonts w:ascii="Arial" w:eastAsia="Calibri" w:hAnsi="Arial" w:cs="Arial"/>
          <w:sz w:val="24"/>
          <w:szCs w:val="24"/>
          <w:lang w:eastAsia="en-US"/>
        </w:rPr>
        <w:t xml:space="preserve"> juristische Führungskräfte der ersten Ebene im Jahr 2018 in Unternehmen im Mittel 174.000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jährlich, d.h. 84.000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oder 93</w:t>
      </w:r>
      <w:r w:rsidR="007948E6">
        <w:rPr>
          <w:rFonts w:ascii="Arial" w:eastAsia="Calibri" w:hAnsi="Arial" w:cs="Arial"/>
          <w:sz w:val="24"/>
          <w:szCs w:val="24"/>
          <w:lang w:eastAsia="en-US"/>
        </w:rPr>
        <w:t> </w:t>
      </w:r>
      <w:r w:rsidRPr="00D049AE">
        <w:rPr>
          <w:rFonts w:ascii="Arial" w:eastAsia="Calibri" w:hAnsi="Arial" w:cs="Arial"/>
          <w:sz w:val="24"/>
          <w:szCs w:val="24"/>
          <w:lang w:eastAsia="en-US"/>
        </w:rPr>
        <w:t xml:space="preserve">Prozent mehr </w:t>
      </w:r>
      <w:r w:rsidR="007948E6">
        <w:rPr>
          <w:rFonts w:ascii="Arial" w:eastAsia="Calibri" w:hAnsi="Arial" w:cs="Arial"/>
          <w:sz w:val="24"/>
          <w:szCs w:val="24"/>
          <w:lang w:eastAsia="en-US"/>
        </w:rPr>
        <w:t xml:space="preserve">verdient </w:t>
      </w:r>
      <w:r w:rsidRPr="00D049AE">
        <w:rPr>
          <w:rFonts w:ascii="Arial" w:eastAsia="Calibri" w:hAnsi="Arial" w:cs="Arial"/>
          <w:sz w:val="24"/>
          <w:szCs w:val="24"/>
          <w:lang w:eastAsia="en-US"/>
        </w:rPr>
        <w:t xml:space="preserve">als vor 25 Jahren. Seniorpartner in großen Anwaltskanzleien </w:t>
      </w:r>
      <w:r w:rsidR="007948E6">
        <w:rPr>
          <w:rFonts w:ascii="Arial" w:eastAsia="Calibri" w:hAnsi="Arial" w:cs="Arial"/>
          <w:sz w:val="24"/>
          <w:szCs w:val="24"/>
          <w:lang w:eastAsia="en-US"/>
        </w:rPr>
        <w:t>hätten</w:t>
      </w:r>
      <w:r w:rsidRPr="00D049AE">
        <w:rPr>
          <w:rFonts w:ascii="Arial" w:eastAsia="Calibri" w:hAnsi="Arial" w:cs="Arial"/>
          <w:sz w:val="24"/>
          <w:szCs w:val="24"/>
          <w:lang w:eastAsia="en-US"/>
        </w:rPr>
        <w:t xml:space="preserve"> im Mittel inzwischen sogar auf 328.000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ein Plus von 190.000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oder 135 Prozent gegenüber 1992</w:t>
      </w:r>
      <w:r w:rsidR="007948E6">
        <w:rPr>
          <w:rFonts w:ascii="Arial" w:eastAsia="Calibri" w:hAnsi="Arial" w:cs="Arial"/>
          <w:sz w:val="24"/>
          <w:szCs w:val="24"/>
          <w:lang w:eastAsia="en-US"/>
        </w:rPr>
        <w:t xml:space="preserve"> erhalten</w:t>
      </w:r>
      <w:r w:rsidRPr="00D049AE">
        <w:rPr>
          <w:rFonts w:ascii="Arial" w:eastAsia="Calibri" w:hAnsi="Arial" w:cs="Arial"/>
          <w:sz w:val="24"/>
          <w:szCs w:val="24"/>
          <w:lang w:eastAsia="en-US"/>
        </w:rPr>
        <w:t>. Das Einkommen eines Richters in der Besoldungsgruppe R</w:t>
      </w:r>
      <w:r w:rsidR="000A3AE5">
        <w:rPr>
          <w:rFonts w:ascii="Arial" w:eastAsia="Calibri" w:hAnsi="Arial" w:cs="Arial"/>
          <w:sz w:val="24"/>
          <w:szCs w:val="24"/>
          <w:lang w:eastAsia="en-US"/>
        </w:rPr>
        <w:t xml:space="preserve"> </w:t>
      </w:r>
      <w:r w:rsidRPr="00D049AE">
        <w:rPr>
          <w:rFonts w:ascii="Arial" w:eastAsia="Calibri" w:hAnsi="Arial" w:cs="Arial"/>
          <w:sz w:val="24"/>
          <w:szCs w:val="24"/>
          <w:lang w:eastAsia="en-US"/>
        </w:rPr>
        <w:t>2-Endstufe komm</w:t>
      </w:r>
      <w:r w:rsidR="007948E6">
        <w:rPr>
          <w:rFonts w:ascii="Arial" w:eastAsia="Calibri" w:hAnsi="Arial" w:cs="Arial"/>
          <w:sz w:val="24"/>
          <w:szCs w:val="24"/>
          <w:lang w:eastAsia="en-US"/>
        </w:rPr>
        <w:t>e</w:t>
      </w:r>
      <w:r w:rsidRPr="00D049AE">
        <w:rPr>
          <w:rFonts w:ascii="Arial" w:eastAsia="Calibri" w:hAnsi="Arial" w:cs="Arial"/>
          <w:sz w:val="24"/>
          <w:szCs w:val="24"/>
          <w:lang w:eastAsia="en-US"/>
        </w:rPr>
        <w:t xml:space="preserve"> selbst im Bundesdienst nur auf rund 88.000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pro Jahr, rund 30.000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oder 57 Prozent mehr als vor 25 Jahren. </w:t>
      </w:r>
    </w:p>
    <w:p w14:paraId="65948959" w14:textId="77777777" w:rsidR="0011370E" w:rsidRPr="00D049AE" w:rsidRDefault="0011370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F8B0123" w14:textId="61FD8836" w:rsidR="00D049AE" w:rsidRPr="000D421A"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D049AE">
        <w:rPr>
          <w:rFonts w:ascii="Arial" w:eastAsia="Calibri" w:hAnsi="Arial" w:cs="Arial"/>
          <w:sz w:val="24"/>
          <w:szCs w:val="24"/>
          <w:lang w:eastAsia="en-US"/>
        </w:rPr>
        <w:t xml:space="preserve">Der Justizjurist mit langjähriger Berufserfahrung verdiene im Jahr 2018 </w:t>
      </w:r>
      <w:r w:rsidR="005F192B">
        <w:rPr>
          <w:rFonts w:ascii="Arial" w:eastAsia="Calibri" w:hAnsi="Arial" w:cs="Arial"/>
          <w:sz w:val="24"/>
          <w:szCs w:val="24"/>
          <w:lang w:eastAsia="en-US"/>
        </w:rPr>
        <w:t xml:space="preserve">nur </w:t>
      </w:r>
      <w:r w:rsidRPr="00D049AE">
        <w:rPr>
          <w:rFonts w:ascii="Arial" w:eastAsia="Calibri" w:hAnsi="Arial" w:cs="Arial"/>
          <w:sz w:val="24"/>
          <w:szCs w:val="24"/>
          <w:lang w:eastAsia="en-US"/>
        </w:rPr>
        <w:t xml:space="preserve">etwa die Hälfte einer juristischen Führungskraft in einem Unternehmen und </w:t>
      </w:r>
      <w:r w:rsidR="00650E7B">
        <w:rPr>
          <w:rFonts w:ascii="Arial" w:eastAsia="Calibri" w:hAnsi="Arial" w:cs="Arial"/>
          <w:sz w:val="24"/>
          <w:szCs w:val="24"/>
          <w:lang w:eastAsia="en-US"/>
        </w:rPr>
        <w:t>nur etwas</w:t>
      </w:r>
      <w:r w:rsidRPr="00D049AE">
        <w:rPr>
          <w:rFonts w:ascii="Arial" w:eastAsia="Calibri" w:hAnsi="Arial" w:cs="Arial"/>
          <w:sz w:val="24"/>
          <w:szCs w:val="24"/>
          <w:lang w:eastAsia="en-US"/>
        </w:rPr>
        <w:t xml:space="preserve"> mehr als ein Viertel des mittleren Einkommens eines Seniorpartners einer großen Anwaltskanzlei</w:t>
      </w:r>
      <w:r w:rsidR="00D341E0">
        <w:rPr>
          <w:rFonts w:ascii="Arial" w:eastAsia="Calibri" w:hAnsi="Arial" w:cs="Arial"/>
          <w:sz w:val="24"/>
          <w:szCs w:val="24"/>
          <w:lang w:eastAsia="en-US"/>
        </w:rPr>
        <w:t xml:space="preserve"> </w:t>
      </w:r>
      <w:r w:rsidR="0011370E">
        <w:rPr>
          <w:rFonts w:ascii="Arial" w:eastAsia="Calibri" w:hAnsi="Arial" w:cs="Arial"/>
          <w:sz w:val="24"/>
          <w:szCs w:val="24"/>
          <w:lang w:eastAsia="en-US"/>
        </w:rPr>
        <w:t xml:space="preserve">(vgl. </w:t>
      </w:r>
      <w:r w:rsidR="0065511B">
        <w:rPr>
          <w:rFonts w:ascii="Arial" w:eastAsia="Calibri" w:hAnsi="Arial" w:cs="Arial"/>
          <w:sz w:val="24"/>
          <w:szCs w:val="24"/>
          <w:lang w:eastAsia="en-US"/>
        </w:rPr>
        <w:t xml:space="preserve">im </w:t>
      </w:r>
      <w:r w:rsidR="0065511B" w:rsidRPr="000D421A">
        <w:rPr>
          <w:rFonts w:ascii="Arial" w:eastAsia="Calibri" w:hAnsi="Arial" w:cs="Arial"/>
          <w:sz w:val="24"/>
          <w:szCs w:val="24"/>
          <w:lang w:eastAsia="en-US"/>
        </w:rPr>
        <w:t xml:space="preserve">Einzelnen </w:t>
      </w:r>
      <w:r w:rsidRPr="000D421A">
        <w:rPr>
          <w:rFonts w:ascii="Arial" w:eastAsia="Calibri" w:hAnsi="Arial" w:cs="Arial"/>
          <w:sz w:val="24"/>
          <w:szCs w:val="24"/>
          <w:lang w:eastAsia="en-US"/>
        </w:rPr>
        <w:t>Deutscher Richterbund / Sven Rebehn, DRiZ 2018, S. 46</w:t>
      </w:r>
      <w:r w:rsidR="00D341E0" w:rsidRPr="000D421A">
        <w:rPr>
          <w:rFonts w:ascii="Arial" w:eastAsia="Calibri" w:hAnsi="Arial" w:cs="Arial"/>
          <w:sz w:val="24"/>
          <w:szCs w:val="24"/>
          <w:lang w:eastAsia="en-US"/>
        </w:rPr>
        <w:t>).</w:t>
      </w:r>
    </w:p>
    <w:p w14:paraId="7BDCA3BA" w14:textId="77777777" w:rsidR="0011370E" w:rsidRPr="000D421A" w:rsidRDefault="0011370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B801255" w14:textId="4F78A3E9" w:rsidR="00D049AE" w:rsidRPr="008B61BA" w:rsidRDefault="00592272"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0D421A">
        <w:rPr>
          <w:rFonts w:ascii="Arial" w:eastAsia="Calibri" w:hAnsi="Arial" w:cs="Arial"/>
          <w:sz w:val="24"/>
          <w:szCs w:val="24"/>
          <w:lang w:eastAsia="en-US"/>
        </w:rPr>
        <w:t xml:space="preserve">Nach </w:t>
      </w:r>
      <w:r w:rsidR="0065511B" w:rsidRPr="000D421A">
        <w:rPr>
          <w:rFonts w:ascii="Arial" w:eastAsia="Calibri" w:hAnsi="Arial" w:cs="Arial"/>
          <w:sz w:val="24"/>
          <w:szCs w:val="24"/>
          <w:lang w:eastAsia="en-US"/>
        </w:rPr>
        <w:t>zu den Akten gereichten Presseberichten</w:t>
      </w:r>
      <w:r w:rsidR="00C46E6F" w:rsidRPr="000D421A">
        <w:rPr>
          <w:rFonts w:ascii="Arial" w:eastAsia="Calibri" w:hAnsi="Arial" w:cs="Arial"/>
          <w:sz w:val="24"/>
          <w:szCs w:val="24"/>
          <w:lang w:eastAsia="en-US"/>
        </w:rPr>
        <w:t>, an deren Richtigkeit keine Zweifel bestehen,</w:t>
      </w:r>
      <w:r w:rsidR="0065511B" w:rsidRPr="000D421A">
        <w:rPr>
          <w:rFonts w:ascii="Arial" w:eastAsia="Calibri" w:hAnsi="Arial" w:cs="Arial"/>
          <w:sz w:val="24"/>
          <w:szCs w:val="24"/>
          <w:lang w:eastAsia="en-US"/>
        </w:rPr>
        <w:t xml:space="preserve"> hat sich d</w:t>
      </w:r>
      <w:r w:rsidR="00D049AE" w:rsidRPr="000D421A">
        <w:rPr>
          <w:rFonts w:ascii="Arial" w:eastAsia="Calibri" w:hAnsi="Arial" w:cs="Arial"/>
          <w:sz w:val="24"/>
          <w:szCs w:val="24"/>
          <w:lang w:eastAsia="en-US"/>
        </w:rPr>
        <w:t>ie Entwicklung über den hiesigen Streitzeitraum hin</w:t>
      </w:r>
      <w:r w:rsidR="00395E80" w:rsidRPr="000D421A">
        <w:rPr>
          <w:rFonts w:ascii="Arial" w:eastAsia="Calibri" w:hAnsi="Arial" w:cs="Arial"/>
          <w:sz w:val="24"/>
          <w:szCs w:val="24"/>
          <w:lang w:eastAsia="en-US"/>
        </w:rPr>
        <w:t>weg</w:t>
      </w:r>
      <w:r w:rsidR="00D049AE" w:rsidRPr="000D421A">
        <w:rPr>
          <w:rFonts w:ascii="Arial" w:eastAsia="Calibri" w:hAnsi="Arial" w:cs="Arial"/>
          <w:sz w:val="24"/>
          <w:szCs w:val="24"/>
          <w:lang w:eastAsia="en-US"/>
        </w:rPr>
        <w:t xml:space="preserve"> verstärkt. </w:t>
      </w:r>
      <w:r w:rsidR="007948E6" w:rsidRPr="000D421A">
        <w:rPr>
          <w:rFonts w:ascii="Arial" w:eastAsia="Calibri" w:hAnsi="Arial" w:cs="Arial"/>
          <w:sz w:val="24"/>
          <w:szCs w:val="24"/>
          <w:lang w:eastAsia="en-US"/>
        </w:rPr>
        <w:t>Während danach</w:t>
      </w:r>
      <w:r w:rsidR="00D049AE" w:rsidRPr="000D421A">
        <w:rPr>
          <w:rFonts w:ascii="Arial" w:eastAsia="Calibri" w:hAnsi="Arial" w:cs="Arial"/>
          <w:sz w:val="24"/>
          <w:szCs w:val="24"/>
          <w:lang w:eastAsia="en-US"/>
        </w:rPr>
        <w:t xml:space="preserve"> sechsstellige Eurobeträge bei Einstiegsgehältern für Prädikatsjuristen im Jahr 2016 noch die Ausnahme</w:t>
      </w:r>
      <w:r w:rsidR="007948E6">
        <w:rPr>
          <w:rFonts w:ascii="Arial" w:eastAsia="Calibri" w:hAnsi="Arial" w:cs="Arial"/>
          <w:sz w:val="24"/>
          <w:szCs w:val="24"/>
          <w:lang w:eastAsia="en-US"/>
        </w:rPr>
        <w:t xml:space="preserve"> gewesen seien</w:t>
      </w:r>
      <w:r w:rsidR="00D049AE" w:rsidRPr="00D049AE">
        <w:rPr>
          <w:rFonts w:ascii="Arial" w:eastAsia="Calibri" w:hAnsi="Arial" w:cs="Arial"/>
          <w:sz w:val="24"/>
          <w:szCs w:val="24"/>
          <w:lang w:eastAsia="en-US"/>
        </w:rPr>
        <w:t xml:space="preserve">, </w:t>
      </w:r>
      <w:r w:rsidR="007948E6">
        <w:rPr>
          <w:rFonts w:ascii="Arial" w:eastAsia="Calibri" w:hAnsi="Arial" w:cs="Arial"/>
          <w:sz w:val="24"/>
          <w:szCs w:val="24"/>
          <w:lang w:eastAsia="en-US"/>
        </w:rPr>
        <w:t>würden</w:t>
      </w:r>
      <w:r w:rsidR="00D049AE" w:rsidRPr="00D049AE">
        <w:rPr>
          <w:rFonts w:ascii="Arial" w:eastAsia="Calibri" w:hAnsi="Arial" w:cs="Arial"/>
          <w:sz w:val="24"/>
          <w:szCs w:val="24"/>
          <w:lang w:eastAsia="en-US"/>
        </w:rPr>
        <w:t xml:space="preserve"> Top-Kanzleien ein solches Bruttojahresgehalt im Jahr 2021 immer häufiger</w:t>
      </w:r>
      <w:r w:rsidR="007948E6">
        <w:rPr>
          <w:rFonts w:ascii="Arial" w:eastAsia="Calibri" w:hAnsi="Arial" w:cs="Arial"/>
          <w:sz w:val="24"/>
          <w:szCs w:val="24"/>
          <w:lang w:eastAsia="en-US"/>
        </w:rPr>
        <w:t xml:space="preserve"> zahlen</w:t>
      </w:r>
      <w:r w:rsidR="00D049AE" w:rsidRPr="00D049AE">
        <w:rPr>
          <w:rFonts w:ascii="Arial" w:eastAsia="Calibri" w:hAnsi="Arial" w:cs="Arial"/>
          <w:sz w:val="24"/>
          <w:szCs w:val="24"/>
          <w:lang w:eastAsia="en-US"/>
        </w:rPr>
        <w:t xml:space="preserve">, um sehr gut ausgebildeten Nachwuchs zu akquirieren. Renommierte Großkanzleien </w:t>
      </w:r>
      <w:r w:rsidR="007948E6">
        <w:rPr>
          <w:rFonts w:ascii="Arial" w:eastAsia="Calibri" w:hAnsi="Arial" w:cs="Arial"/>
          <w:sz w:val="24"/>
          <w:szCs w:val="24"/>
          <w:lang w:eastAsia="en-US"/>
        </w:rPr>
        <w:t>würden</w:t>
      </w:r>
      <w:r w:rsidR="00D049AE" w:rsidRPr="00D049AE">
        <w:rPr>
          <w:rFonts w:ascii="Arial" w:eastAsia="Calibri" w:hAnsi="Arial" w:cs="Arial"/>
          <w:sz w:val="24"/>
          <w:szCs w:val="24"/>
          <w:lang w:eastAsia="en-US"/>
        </w:rPr>
        <w:t xml:space="preserve"> Einstiegsgehälter von bis zu 140.000 </w:t>
      </w:r>
      <w:r w:rsidR="00996C9D">
        <w:rPr>
          <w:rFonts w:ascii="Arial" w:eastAsia="Calibri" w:hAnsi="Arial" w:cs="Arial"/>
          <w:sz w:val="24"/>
          <w:szCs w:val="24"/>
          <w:lang w:eastAsia="en-US"/>
        </w:rPr>
        <w:t>€</w:t>
      </w:r>
      <w:r w:rsidR="00D049AE" w:rsidRPr="008B61BA">
        <w:rPr>
          <w:rFonts w:ascii="Arial" w:eastAsia="Calibri" w:hAnsi="Arial" w:cs="Arial"/>
          <w:sz w:val="24"/>
          <w:szCs w:val="24"/>
          <w:lang w:eastAsia="en-US"/>
        </w:rPr>
        <w:t xml:space="preserve"> im Jahr</w:t>
      </w:r>
      <w:r w:rsidR="007948E6">
        <w:rPr>
          <w:rFonts w:ascii="Arial" w:eastAsia="Calibri" w:hAnsi="Arial" w:cs="Arial"/>
          <w:sz w:val="24"/>
          <w:szCs w:val="24"/>
          <w:lang w:eastAsia="en-US"/>
        </w:rPr>
        <w:t xml:space="preserve"> bieten</w:t>
      </w:r>
      <w:r w:rsidR="008B61BA" w:rsidRPr="008B61BA">
        <w:rPr>
          <w:rFonts w:ascii="Arial" w:eastAsia="Calibri" w:hAnsi="Arial" w:cs="Arial"/>
          <w:sz w:val="24"/>
          <w:szCs w:val="24"/>
          <w:lang w:eastAsia="en-US"/>
        </w:rPr>
        <w:t>.</w:t>
      </w:r>
    </w:p>
    <w:p w14:paraId="34185D09" w14:textId="77777777" w:rsidR="003B3ECE" w:rsidRPr="008B61BA" w:rsidRDefault="003B3EC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DA21D4A" w14:textId="6580AF7C" w:rsidR="00D049AE" w:rsidRDefault="00D049AE"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B61BA">
        <w:rPr>
          <w:rFonts w:ascii="Arial" w:eastAsia="Calibri" w:hAnsi="Arial" w:cs="Arial"/>
          <w:sz w:val="24"/>
          <w:szCs w:val="24"/>
          <w:lang w:eastAsia="en-US"/>
        </w:rPr>
        <w:t xml:space="preserve">So </w:t>
      </w:r>
      <w:r w:rsidR="007948E6">
        <w:rPr>
          <w:rFonts w:ascii="Arial" w:eastAsia="Calibri" w:hAnsi="Arial" w:cs="Arial"/>
          <w:sz w:val="24"/>
          <w:szCs w:val="24"/>
          <w:lang w:eastAsia="en-US"/>
        </w:rPr>
        <w:t>würden</w:t>
      </w:r>
      <w:r w:rsidRPr="008B61BA">
        <w:rPr>
          <w:rFonts w:ascii="Arial" w:eastAsia="Calibri" w:hAnsi="Arial" w:cs="Arial"/>
          <w:sz w:val="24"/>
          <w:szCs w:val="24"/>
          <w:lang w:eastAsia="en-US"/>
        </w:rPr>
        <w:t xml:space="preserve"> Berufsanfänger bei der Rechtsanwaltskanzlei Gleiss Lutz 140.000 </w:t>
      </w:r>
      <w:r w:rsidR="00996C9D">
        <w:rPr>
          <w:rFonts w:ascii="Arial" w:eastAsia="Calibri" w:hAnsi="Arial" w:cs="Arial"/>
          <w:sz w:val="24"/>
          <w:szCs w:val="24"/>
          <w:lang w:eastAsia="en-US"/>
        </w:rPr>
        <w:t>€</w:t>
      </w:r>
      <w:r w:rsidR="00C46E6F">
        <w:rPr>
          <w:rFonts w:ascii="Arial" w:eastAsia="Calibri" w:hAnsi="Arial" w:cs="Arial"/>
          <w:sz w:val="24"/>
          <w:szCs w:val="24"/>
          <w:lang w:eastAsia="en-US"/>
        </w:rPr>
        <w:t xml:space="preserve"> erhalten</w:t>
      </w:r>
      <w:r w:rsidRPr="008B61BA">
        <w:rPr>
          <w:rFonts w:ascii="Arial" w:eastAsia="Calibri" w:hAnsi="Arial" w:cs="Arial"/>
          <w:sz w:val="24"/>
          <w:szCs w:val="24"/>
          <w:lang w:eastAsia="en-US"/>
        </w:rPr>
        <w:t xml:space="preserve">. Je 5.000 </w:t>
      </w:r>
      <w:r w:rsidR="00996C9D">
        <w:rPr>
          <w:rFonts w:ascii="Arial" w:eastAsia="Calibri" w:hAnsi="Arial" w:cs="Arial"/>
          <w:sz w:val="24"/>
          <w:szCs w:val="24"/>
          <w:lang w:eastAsia="en-US"/>
        </w:rPr>
        <w:t>€</w:t>
      </w:r>
      <w:r w:rsidRPr="008B61BA">
        <w:rPr>
          <w:rFonts w:ascii="Arial" w:eastAsia="Calibri" w:hAnsi="Arial" w:cs="Arial"/>
          <w:sz w:val="24"/>
          <w:szCs w:val="24"/>
          <w:lang w:eastAsia="en-US"/>
        </w:rPr>
        <w:t xml:space="preserve"> mehr zahl</w:t>
      </w:r>
      <w:r w:rsidR="00C46E6F">
        <w:rPr>
          <w:rFonts w:ascii="Arial" w:eastAsia="Calibri" w:hAnsi="Arial" w:cs="Arial"/>
          <w:sz w:val="24"/>
          <w:szCs w:val="24"/>
          <w:lang w:eastAsia="en-US"/>
        </w:rPr>
        <w:t>e</w:t>
      </w:r>
      <w:r w:rsidRPr="008B61BA">
        <w:rPr>
          <w:rFonts w:ascii="Arial" w:eastAsia="Calibri" w:hAnsi="Arial" w:cs="Arial"/>
          <w:sz w:val="24"/>
          <w:szCs w:val="24"/>
          <w:lang w:eastAsia="en-US"/>
        </w:rPr>
        <w:t xml:space="preserve"> die Kanzlei für Zusatzqualifikationen wie eine Promotion oder eine</w:t>
      </w:r>
      <w:r w:rsidR="00E42EF6">
        <w:rPr>
          <w:rFonts w:ascii="Arial" w:eastAsia="Calibri" w:hAnsi="Arial" w:cs="Arial"/>
          <w:sz w:val="24"/>
          <w:szCs w:val="24"/>
          <w:lang w:eastAsia="en-US"/>
        </w:rPr>
        <w:t>n</w:t>
      </w:r>
      <w:r w:rsidRPr="008B61BA">
        <w:rPr>
          <w:rFonts w:ascii="Arial" w:eastAsia="Calibri" w:hAnsi="Arial" w:cs="Arial"/>
          <w:sz w:val="24"/>
          <w:szCs w:val="24"/>
          <w:lang w:eastAsia="en-US"/>
        </w:rPr>
        <w:t xml:space="preserve"> im englischsprachigen Ausland erworbenen LL.M. Bei der </w:t>
      </w:r>
      <w:r w:rsidRPr="00D049AE">
        <w:rPr>
          <w:rFonts w:ascii="Arial" w:eastAsia="Calibri" w:hAnsi="Arial" w:cs="Arial"/>
          <w:sz w:val="24"/>
          <w:szCs w:val="24"/>
          <w:lang w:eastAsia="en-US"/>
        </w:rPr>
        <w:t>Kanzlei Hengeler Mueller lieg</w:t>
      </w:r>
      <w:r w:rsidR="00C46E6F">
        <w:rPr>
          <w:rFonts w:ascii="Arial" w:eastAsia="Calibri" w:hAnsi="Arial" w:cs="Arial"/>
          <w:sz w:val="24"/>
          <w:szCs w:val="24"/>
          <w:lang w:eastAsia="en-US"/>
        </w:rPr>
        <w:t>e</w:t>
      </w:r>
      <w:r w:rsidRPr="00D049AE">
        <w:rPr>
          <w:rFonts w:ascii="Arial" w:eastAsia="Calibri" w:hAnsi="Arial" w:cs="Arial"/>
          <w:sz w:val="24"/>
          <w:szCs w:val="24"/>
          <w:lang w:eastAsia="en-US"/>
        </w:rPr>
        <w:t xml:space="preserve"> das Einstiegsgehalt ab 2022 fix bei 150.000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für einen LL.M.-Titel </w:t>
      </w:r>
      <w:r w:rsidR="00C46E6F">
        <w:rPr>
          <w:rFonts w:ascii="Arial" w:eastAsia="Calibri" w:hAnsi="Arial" w:cs="Arial"/>
          <w:sz w:val="24"/>
          <w:szCs w:val="24"/>
          <w:lang w:eastAsia="en-US"/>
        </w:rPr>
        <w:t>gebe</w:t>
      </w:r>
      <w:r w:rsidRPr="00D049AE">
        <w:rPr>
          <w:rFonts w:ascii="Arial" w:eastAsia="Calibri" w:hAnsi="Arial" w:cs="Arial"/>
          <w:sz w:val="24"/>
          <w:szCs w:val="24"/>
          <w:lang w:eastAsia="en-US"/>
        </w:rPr>
        <w:t xml:space="preserve"> es zusätzlich einmalig 10.000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Hinzu komm</w:t>
      </w:r>
      <w:r w:rsidR="00C46E6F">
        <w:rPr>
          <w:rFonts w:ascii="Arial" w:eastAsia="Calibri" w:hAnsi="Arial" w:cs="Arial"/>
          <w:sz w:val="24"/>
          <w:szCs w:val="24"/>
          <w:lang w:eastAsia="en-US"/>
        </w:rPr>
        <w:t>e</w:t>
      </w:r>
      <w:r w:rsidRPr="00D049AE">
        <w:rPr>
          <w:rFonts w:ascii="Arial" w:eastAsia="Calibri" w:hAnsi="Arial" w:cs="Arial"/>
          <w:sz w:val="24"/>
          <w:szCs w:val="24"/>
          <w:lang w:eastAsia="en-US"/>
        </w:rPr>
        <w:t xml:space="preserve"> ein Bonus, der im zweiten und dritten Jahr 10.000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erreichen und mit jedem weiteren Jahr Berufserfahrung um 5.000 </w:t>
      </w:r>
      <w:r w:rsidR="00996C9D">
        <w:rPr>
          <w:rFonts w:ascii="Arial" w:eastAsia="Calibri" w:hAnsi="Arial" w:cs="Arial"/>
          <w:sz w:val="24"/>
          <w:szCs w:val="24"/>
          <w:lang w:eastAsia="en-US"/>
        </w:rPr>
        <w:t>€</w:t>
      </w:r>
      <w:r w:rsidRPr="00D049AE">
        <w:rPr>
          <w:rFonts w:ascii="Arial" w:eastAsia="Calibri" w:hAnsi="Arial" w:cs="Arial"/>
          <w:sz w:val="24"/>
          <w:szCs w:val="24"/>
          <w:lang w:eastAsia="en-US"/>
        </w:rPr>
        <w:t xml:space="preserve"> </w:t>
      </w:r>
      <w:r w:rsidRPr="00E8230A">
        <w:rPr>
          <w:rFonts w:ascii="Arial" w:eastAsia="Calibri" w:hAnsi="Arial" w:cs="Arial"/>
          <w:sz w:val="24"/>
          <w:szCs w:val="24"/>
          <w:lang w:eastAsia="en-US"/>
        </w:rPr>
        <w:t xml:space="preserve">steigen </w:t>
      </w:r>
      <w:r w:rsidR="00C46E6F">
        <w:rPr>
          <w:rFonts w:ascii="Arial" w:eastAsia="Calibri" w:hAnsi="Arial" w:cs="Arial"/>
          <w:sz w:val="24"/>
          <w:szCs w:val="24"/>
          <w:lang w:eastAsia="en-US"/>
        </w:rPr>
        <w:t>könne</w:t>
      </w:r>
      <w:r w:rsidR="00E8230A" w:rsidRPr="00E8230A">
        <w:rPr>
          <w:rFonts w:ascii="Arial" w:eastAsia="Calibri" w:hAnsi="Arial" w:cs="Arial"/>
          <w:sz w:val="24"/>
          <w:szCs w:val="24"/>
          <w:lang w:eastAsia="en-US"/>
        </w:rPr>
        <w:t>.</w:t>
      </w:r>
      <w:r w:rsidR="00AC0B5E" w:rsidRPr="00E8230A">
        <w:rPr>
          <w:rFonts w:ascii="Arial" w:eastAsia="Calibri" w:hAnsi="Arial" w:cs="Arial"/>
          <w:sz w:val="24"/>
          <w:szCs w:val="24"/>
          <w:lang w:eastAsia="en-US"/>
        </w:rPr>
        <w:t xml:space="preserve"> </w:t>
      </w:r>
    </w:p>
    <w:p w14:paraId="14D91AFE" w14:textId="633C2FB6" w:rsidR="00C46E6F" w:rsidRDefault="00C46E6F" w:rsidP="00D049AE">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87BB8DB" w14:textId="6F9FC5CA" w:rsidR="00B32C3B"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239E1">
        <w:rPr>
          <w:rFonts w:ascii="Arial" w:eastAsia="Calibri" w:hAnsi="Arial" w:cs="Arial"/>
          <w:sz w:val="24"/>
          <w:szCs w:val="24"/>
          <w:lang w:eastAsia="en-US"/>
        </w:rPr>
        <w:t xml:space="preserve">cc) </w:t>
      </w:r>
      <w:r w:rsidR="00F32E4D" w:rsidRPr="00F32E4D">
        <w:rPr>
          <w:rFonts w:ascii="Arial" w:eastAsia="Calibri" w:hAnsi="Arial" w:cs="Arial"/>
          <w:sz w:val="24"/>
          <w:szCs w:val="24"/>
          <w:lang w:eastAsia="en-US"/>
        </w:rPr>
        <w:t>Zu berücksichtigen sind zuletzt insbesondere auch die im Betrachtungszeitraum erfolgten Einschnitte im Bereich der Beihilfe- und Versorgungsleistungen, die das zum laufenden Lebensunterhalt verfügbare Einkommen der Beamten zusätzlich gemindert haben und die für einen Verstoß gegen das Gebot der Mindestalimentation sprechen (vgl.</w:t>
      </w:r>
      <w:r w:rsidR="00E84523">
        <w:rPr>
          <w:rFonts w:ascii="Arial" w:eastAsia="Calibri" w:hAnsi="Arial" w:cs="Arial"/>
          <w:sz w:val="24"/>
          <w:szCs w:val="24"/>
          <w:lang w:eastAsia="en-US"/>
        </w:rPr>
        <w:t xml:space="preserve"> </w:t>
      </w:r>
      <w:r w:rsidR="00F32E4D" w:rsidRPr="00F32E4D">
        <w:rPr>
          <w:rFonts w:ascii="Arial" w:eastAsia="Calibri" w:hAnsi="Arial" w:cs="Arial"/>
          <w:sz w:val="24"/>
          <w:szCs w:val="24"/>
          <w:lang w:eastAsia="en-US"/>
        </w:rPr>
        <w:t>BVerfG, Beschl</w:t>
      </w:r>
      <w:r w:rsidR="000140AD">
        <w:rPr>
          <w:rFonts w:ascii="Arial" w:eastAsia="Calibri" w:hAnsi="Arial" w:cs="Arial"/>
          <w:sz w:val="24"/>
          <w:szCs w:val="24"/>
          <w:lang w:eastAsia="en-US"/>
        </w:rPr>
        <w:t>.</w:t>
      </w:r>
      <w:r w:rsidR="00F32E4D" w:rsidRPr="00F32E4D">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00F32E4D" w:rsidRPr="00F32E4D">
        <w:rPr>
          <w:rFonts w:ascii="Arial" w:eastAsia="Calibri" w:hAnsi="Arial" w:cs="Arial"/>
          <w:sz w:val="24"/>
          <w:szCs w:val="24"/>
          <w:lang w:eastAsia="en-US"/>
        </w:rPr>
        <w:t xml:space="preserve"> 4.</w:t>
      </w:r>
      <w:r w:rsidR="003A59E0">
        <w:rPr>
          <w:rFonts w:ascii="Arial" w:eastAsia="Calibri" w:hAnsi="Arial" w:cs="Arial"/>
          <w:sz w:val="24"/>
          <w:szCs w:val="24"/>
          <w:lang w:eastAsia="en-US"/>
        </w:rPr>
        <w:t> </w:t>
      </w:r>
      <w:r w:rsidR="00F32E4D" w:rsidRPr="00F32E4D">
        <w:rPr>
          <w:rFonts w:ascii="Arial" w:eastAsia="Calibri" w:hAnsi="Arial" w:cs="Arial"/>
          <w:sz w:val="24"/>
          <w:szCs w:val="24"/>
          <w:lang w:eastAsia="en-US"/>
        </w:rPr>
        <w:t xml:space="preserve">Mai 2020 – 2 BvL 4/18 – juris Rn. 90 f., 175). </w:t>
      </w:r>
    </w:p>
    <w:p w14:paraId="0490311A" w14:textId="77777777" w:rsidR="00B32C3B" w:rsidRDefault="00B32C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6EBEC45" w14:textId="576D0EA6" w:rsidR="00342F08" w:rsidRDefault="00F32E4D"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F32E4D">
        <w:rPr>
          <w:rFonts w:ascii="Arial" w:eastAsia="Calibri" w:hAnsi="Arial" w:cs="Arial"/>
          <w:sz w:val="24"/>
          <w:szCs w:val="24"/>
          <w:lang w:eastAsia="en-US"/>
        </w:rPr>
        <w:t xml:space="preserve">Hierbei ist zunächst die Kürzung der Beihilfeleistungen durch die für die </w:t>
      </w:r>
      <w:r w:rsidR="00D40460">
        <w:rPr>
          <w:rFonts w:ascii="Arial" w:eastAsia="Calibri" w:hAnsi="Arial" w:cs="Arial"/>
          <w:sz w:val="24"/>
          <w:szCs w:val="24"/>
          <w:lang w:eastAsia="en-US"/>
        </w:rPr>
        <w:t>R-</w:t>
      </w:r>
      <w:r w:rsidRPr="00F32E4D">
        <w:rPr>
          <w:rFonts w:ascii="Arial" w:eastAsia="Calibri" w:hAnsi="Arial" w:cs="Arial"/>
          <w:sz w:val="24"/>
          <w:szCs w:val="24"/>
          <w:lang w:eastAsia="en-US"/>
        </w:rPr>
        <w:t>Besoldung zum</w:t>
      </w:r>
      <w:r w:rsidR="00E84523">
        <w:rPr>
          <w:rFonts w:ascii="Arial" w:eastAsia="Calibri" w:hAnsi="Arial" w:cs="Arial"/>
          <w:sz w:val="24"/>
          <w:szCs w:val="24"/>
          <w:lang w:eastAsia="en-US"/>
        </w:rPr>
        <w:t xml:space="preserve"> </w:t>
      </w:r>
      <w:r w:rsidRPr="00F32E4D">
        <w:rPr>
          <w:rFonts w:ascii="Arial" w:eastAsia="Calibri" w:hAnsi="Arial" w:cs="Arial"/>
          <w:sz w:val="24"/>
          <w:szCs w:val="24"/>
          <w:lang w:eastAsia="en-US"/>
        </w:rPr>
        <w:t>1.</w:t>
      </w:r>
      <w:r w:rsidR="00810932">
        <w:rPr>
          <w:rFonts w:ascii="Arial" w:eastAsia="Calibri" w:hAnsi="Arial" w:cs="Arial"/>
          <w:sz w:val="24"/>
          <w:szCs w:val="24"/>
          <w:lang w:eastAsia="en-US"/>
        </w:rPr>
        <w:t> </w:t>
      </w:r>
      <w:r w:rsidRPr="00F32E4D">
        <w:rPr>
          <w:rFonts w:ascii="Arial" w:eastAsia="Calibri" w:hAnsi="Arial" w:cs="Arial"/>
          <w:sz w:val="24"/>
          <w:szCs w:val="24"/>
          <w:lang w:eastAsia="en-US"/>
        </w:rPr>
        <w:t>Januar 2003 durch Art. I Nr. 2 des Gesetzes zur Änderung des Landesbeamtengeset</w:t>
      </w:r>
      <w:r w:rsidR="00305125">
        <w:rPr>
          <w:rFonts w:ascii="Arial" w:eastAsia="Calibri" w:hAnsi="Arial" w:cs="Arial"/>
          <w:sz w:val="24"/>
          <w:szCs w:val="24"/>
          <w:lang w:eastAsia="en-US"/>
        </w:rPr>
        <w:t>z</w:t>
      </w:r>
      <w:r w:rsidR="00342F08" w:rsidRPr="00342F08">
        <w:rPr>
          <w:rFonts w:ascii="Arial" w:eastAsia="Calibri" w:hAnsi="Arial" w:cs="Arial"/>
          <w:sz w:val="24"/>
          <w:szCs w:val="24"/>
          <w:lang w:eastAsia="en-US"/>
        </w:rPr>
        <w:t>es und des Einkommensteuerangleichungsgesetzes vom 10. Juni 2002 (GVBl. S. 192)</w:t>
      </w:r>
      <w:r w:rsidR="00305125">
        <w:rPr>
          <w:rFonts w:ascii="Arial" w:eastAsia="Calibri" w:hAnsi="Arial" w:cs="Arial"/>
          <w:sz w:val="24"/>
          <w:szCs w:val="24"/>
          <w:lang w:eastAsia="en-US"/>
        </w:rPr>
        <w:t xml:space="preserve"> </w:t>
      </w:r>
      <w:r w:rsidR="00342F08" w:rsidRPr="00342F08">
        <w:rPr>
          <w:rFonts w:ascii="Arial" w:eastAsia="Calibri" w:hAnsi="Arial" w:cs="Arial"/>
          <w:sz w:val="24"/>
          <w:szCs w:val="24"/>
          <w:lang w:eastAsia="en-US"/>
        </w:rPr>
        <w:t>eingeführte Kostendämpfungspauschale in Höhe von 460 € in den Blick zu nehmen, die</w:t>
      </w:r>
      <w:r w:rsidR="00305125">
        <w:rPr>
          <w:rFonts w:ascii="Arial" w:eastAsia="Calibri" w:hAnsi="Arial" w:cs="Arial"/>
          <w:sz w:val="24"/>
          <w:szCs w:val="24"/>
          <w:lang w:eastAsia="en-US"/>
        </w:rPr>
        <w:t xml:space="preserve"> </w:t>
      </w:r>
      <w:r w:rsidR="00342F08" w:rsidRPr="00342F08">
        <w:rPr>
          <w:rFonts w:ascii="Arial" w:eastAsia="Calibri" w:hAnsi="Arial" w:cs="Arial"/>
          <w:sz w:val="24"/>
          <w:szCs w:val="24"/>
          <w:lang w:eastAsia="en-US"/>
        </w:rPr>
        <w:t>erst im Jahr 2018 wieder abgeschafft wurde und durch die d</w:t>
      </w:r>
      <w:r w:rsidR="00E42EF6">
        <w:rPr>
          <w:rFonts w:ascii="Arial" w:eastAsia="Calibri" w:hAnsi="Arial" w:cs="Arial"/>
          <w:sz w:val="24"/>
          <w:szCs w:val="24"/>
          <w:lang w:eastAsia="en-US"/>
        </w:rPr>
        <w:t>ie richterlichen Beschäftigten</w:t>
      </w:r>
      <w:r w:rsidR="00342F08" w:rsidRPr="00342F08">
        <w:rPr>
          <w:rFonts w:ascii="Arial" w:eastAsia="Calibri" w:hAnsi="Arial" w:cs="Arial"/>
          <w:sz w:val="24"/>
          <w:szCs w:val="24"/>
          <w:lang w:eastAsia="en-US"/>
        </w:rPr>
        <w:t xml:space="preserve"> – im Wege eines</w:t>
      </w:r>
      <w:r w:rsidR="00305125">
        <w:rPr>
          <w:rFonts w:ascii="Arial" w:eastAsia="Calibri" w:hAnsi="Arial" w:cs="Arial"/>
          <w:sz w:val="24"/>
          <w:szCs w:val="24"/>
          <w:lang w:eastAsia="en-US"/>
        </w:rPr>
        <w:t xml:space="preserve"> </w:t>
      </w:r>
      <w:r w:rsidR="00342F08" w:rsidRPr="00342F08">
        <w:rPr>
          <w:rFonts w:ascii="Arial" w:eastAsia="Calibri" w:hAnsi="Arial" w:cs="Arial"/>
          <w:sz w:val="24"/>
          <w:szCs w:val="24"/>
          <w:lang w:eastAsia="en-US"/>
        </w:rPr>
        <w:t>Selbstbehalts – an den Kosten der Beihilfe beteiligt wurde.</w:t>
      </w:r>
    </w:p>
    <w:p w14:paraId="37C70FEA" w14:textId="77777777" w:rsidR="00B32C3B" w:rsidRPr="00342F08" w:rsidRDefault="00B32C3B"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4719ADCF" w14:textId="18440434" w:rsidR="00342F08" w:rsidRDefault="00342F08"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42F08">
        <w:rPr>
          <w:rFonts w:ascii="Arial" w:eastAsia="Calibri" w:hAnsi="Arial" w:cs="Arial"/>
          <w:sz w:val="24"/>
          <w:szCs w:val="24"/>
          <w:lang w:eastAsia="en-US"/>
        </w:rPr>
        <w:t>Ebenfalls einzubeziehen sind die vom Bundesverwaltungsgericht in seinem Vorlagebeschluss zur Berliner Richterbesoldung festgestellten Einschnitte bei der Erstattungsfähigkeit beihilfefähiger Aufwendungen (Aufhebung der Beihilfefähigkeit von Säuglings- und</w:t>
      </w:r>
      <w:r w:rsidR="00D86FC4">
        <w:rPr>
          <w:rFonts w:ascii="Arial" w:eastAsia="Calibri" w:hAnsi="Arial" w:cs="Arial"/>
          <w:sz w:val="24"/>
          <w:szCs w:val="24"/>
          <w:lang w:eastAsia="en-US"/>
        </w:rPr>
        <w:t xml:space="preserve"> </w:t>
      </w:r>
      <w:r w:rsidRPr="00342F08">
        <w:rPr>
          <w:rFonts w:ascii="Arial" w:eastAsia="Calibri" w:hAnsi="Arial" w:cs="Arial"/>
          <w:sz w:val="24"/>
          <w:szCs w:val="24"/>
          <w:lang w:eastAsia="en-US"/>
        </w:rPr>
        <w:t>Kinder</w:t>
      </w:r>
      <w:r w:rsidRPr="00342F08">
        <w:rPr>
          <w:rFonts w:ascii="Arial" w:eastAsia="Calibri" w:hAnsi="Arial" w:cs="Arial"/>
          <w:sz w:val="24"/>
          <w:szCs w:val="24"/>
          <w:lang w:eastAsia="en-US"/>
        </w:rPr>
        <w:lastRenderedPageBreak/>
        <w:t>ausstattung im Jahr 2004 sowie die Absenkung des Beihilfesatzes für Material- und</w:t>
      </w:r>
      <w:r w:rsidR="00D86FC4">
        <w:rPr>
          <w:rFonts w:ascii="Arial" w:eastAsia="Calibri" w:hAnsi="Arial" w:cs="Arial"/>
          <w:sz w:val="24"/>
          <w:szCs w:val="24"/>
          <w:lang w:eastAsia="en-US"/>
        </w:rPr>
        <w:t xml:space="preserve"> </w:t>
      </w:r>
      <w:r w:rsidRPr="00342F08">
        <w:rPr>
          <w:rFonts w:ascii="Arial" w:eastAsia="Calibri" w:hAnsi="Arial" w:cs="Arial"/>
          <w:sz w:val="24"/>
          <w:szCs w:val="24"/>
          <w:lang w:eastAsia="en-US"/>
        </w:rPr>
        <w:t>Laborkosten von Zahnersatz von 60 % auf 40 % im Jahr 2005, siehe BVerwG, Beschluss</w:t>
      </w:r>
      <w:r w:rsidR="00D86FC4">
        <w:rPr>
          <w:rFonts w:ascii="Arial" w:eastAsia="Calibri" w:hAnsi="Arial" w:cs="Arial"/>
          <w:sz w:val="24"/>
          <w:szCs w:val="24"/>
          <w:lang w:eastAsia="en-US"/>
        </w:rPr>
        <w:t xml:space="preserve"> </w:t>
      </w:r>
      <w:r w:rsidRPr="00342F08">
        <w:rPr>
          <w:rFonts w:ascii="Arial" w:eastAsia="Calibri" w:hAnsi="Arial" w:cs="Arial"/>
          <w:sz w:val="24"/>
          <w:szCs w:val="24"/>
          <w:lang w:eastAsia="en-US"/>
        </w:rPr>
        <w:t>vom 22.</w:t>
      </w:r>
      <w:r w:rsidR="00810932">
        <w:rPr>
          <w:rFonts w:ascii="Arial" w:eastAsia="Calibri" w:hAnsi="Arial" w:cs="Arial"/>
          <w:sz w:val="24"/>
          <w:szCs w:val="24"/>
          <w:lang w:eastAsia="en-US"/>
        </w:rPr>
        <w:t> </w:t>
      </w:r>
      <w:r w:rsidRPr="00342F08">
        <w:rPr>
          <w:rFonts w:ascii="Arial" w:eastAsia="Calibri" w:hAnsi="Arial" w:cs="Arial"/>
          <w:sz w:val="24"/>
          <w:szCs w:val="24"/>
          <w:lang w:eastAsia="en-US"/>
        </w:rPr>
        <w:t>September 2017 – 2 C 56.16 u.a. – juris Rn. 106).</w:t>
      </w:r>
    </w:p>
    <w:p w14:paraId="5F0AC1AD" w14:textId="77777777" w:rsidR="00D86FC4" w:rsidRPr="00342F08" w:rsidRDefault="00D86FC4"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1AAFEA59" w14:textId="38DF9AD6" w:rsidR="00F32E4D" w:rsidRDefault="00342F08"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42F08">
        <w:rPr>
          <w:rFonts w:ascii="Arial" w:eastAsia="Calibri" w:hAnsi="Arial" w:cs="Arial"/>
          <w:sz w:val="24"/>
          <w:szCs w:val="24"/>
          <w:lang w:eastAsia="en-US"/>
        </w:rPr>
        <w:t>Im Bereich der Versorgungsleistungen fällt die Absenkung des Ruhegehalts von 75 v.H.</w:t>
      </w:r>
      <w:r w:rsidR="00592272">
        <w:rPr>
          <w:rFonts w:ascii="Arial" w:eastAsia="Calibri" w:hAnsi="Arial" w:cs="Arial"/>
          <w:sz w:val="24"/>
          <w:szCs w:val="24"/>
          <w:lang w:eastAsia="en-US"/>
        </w:rPr>
        <w:t xml:space="preserve"> </w:t>
      </w:r>
      <w:r w:rsidRPr="00342F08">
        <w:rPr>
          <w:rFonts w:ascii="Arial" w:eastAsia="Calibri" w:hAnsi="Arial" w:cs="Arial"/>
          <w:sz w:val="24"/>
          <w:szCs w:val="24"/>
          <w:lang w:eastAsia="en-US"/>
        </w:rPr>
        <w:t>auf höchstens 71,75 v.H. der ruhegehaltfähigen Dienstbezüge durch das Versorgungsänderungsgesetz 2001 vom 20. Dezember 2001 (BGBl. I S. 3926) ins Gewicht, an der der</w:t>
      </w:r>
      <w:r w:rsidR="00052A8A">
        <w:rPr>
          <w:rFonts w:ascii="Arial" w:eastAsia="Calibri" w:hAnsi="Arial" w:cs="Arial"/>
          <w:sz w:val="24"/>
          <w:szCs w:val="24"/>
          <w:lang w:eastAsia="en-US"/>
        </w:rPr>
        <w:t xml:space="preserve"> </w:t>
      </w:r>
      <w:r w:rsidRPr="00342F08">
        <w:rPr>
          <w:rFonts w:ascii="Arial" w:eastAsia="Calibri" w:hAnsi="Arial" w:cs="Arial"/>
          <w:sz w:val="24"/>
          <w:szCs w:val="24"/>
          <w:lang w:eastAsia="en-US"/>
        </w:rPr>
        <w:t>Landesgesetzgeber nach dem Übergang der Gesetzgebungskompetenz für die Beamtenversorgung im Jahr 2006 festgehalten hat. Zwar ist diese Kürzung in der Vergangenheit</w:t>
      </w:r>
      <w:r w:rsidR="00052A8A">
        <w:rPr>
          <w:rFonts w:ascii="Arial" w:eastAsia="Calibri" w:hAnsi="Arial" w:cs="Arial"/>
          <w:sz w:val="24"/>
          <w:szCs w:val="24"/>
          <w:lang w:eastAsia="en-US"/>
        </w:rPr>
        <w:t xml:space="preserve"> </w:t>
      </w:r>
      <w:r w:rsidRPr="00342F08">
        <w:rPr>
          <w:rFonts w:ascii="Arial" w:eastAsia="Calibri" w:hAnsi="Arial" w:cs="Arial"/>
          <w:sz w:val="24"/>
          <w:szCs w:val="24"/>
          <w:lang w:eastAsia="en-US"/>
        </w:rPr>
        <w:t>isoliert betrachtet als verfassungsrechtlich unbedenklich eingestuft worden (BVerfG, Urt</w:t>
      </w:r>
      <w:r w:rsidR="000140AD">
        <w:rPr>
          <w:rFonts w:ascii="Arial" w:eastAsia="Calibri" w:hAnsi="Arial" w:cs="Arial"/>
          <w:sz w:val="24"/>
          <w:szCs w:val="24"/>
          <w:lang w:eastAsia="en-US"/>
        </w:rPr>
        <w:t>.</w:t>
      </w:r>
      <w:r w:rsidRPr="00342F08">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Pr="00342F08">
        <w:rPr>
          <w:rFonts w:ascii="Arial" w:eastAsia="Calibri" w:hAnsi="Arial" w:cs="Arial"/>
          <w:sz w:val="24"/>
          <w:szCs w:val="24"/>
          <w:lang w:eastAsia="en-US"/>
        </w:rPr>
        <w:t xml:space="preserve"> 27.</w:t>
      </w:r>
      <w:r w:rsidR="00810932">
        <w:rPr>
          <w:rFonts w:ascii="Arial" w:eastAsia="Calibri" w:hAnsi="Arial" w:cs="Arial"/>
          <w:sz w:val="24"/>
          <w:szCs w:val="24"/>
          <w:lang w:eastAsia="en-US"/>
        </w:rPr>
        <w:t> </w:t>
      </w:r>
      <w:r w:rsidRPr="00342F08">
        <w:rPr>
          <w:rFonts w:ascii="Arial" w:eastAsia="Calibri" w:hAnsi="Arial" w:cs="Arial"/>
          <w:sz w:val="24"/>
          <w:szCs w:val="24"/>
          <w:lang w:eastAsia="en-US"/>
        </w:rPr>
        <w:t>September 2005 – 2 BvR 1387/02 – juris Rn. 93). Allerdings führt die aus dieser Kürzung resultierende Notwendigkeit eines erhöhten Eigenanteils an der Altersvorsorge − gerade angesichts einer steigenden Lebenserwartung − zu einer weiteren Aufzehrung der Bezüge mit der Folge, dass die Gewährleistung eines der Entwicklung der</w:t>
      </w:r>
      <w:r w:rsidR="00052A8A">
        <w:rPr>
          <w:rFonts w:ascii="Arial" w:eastAsia="Calibri" w:hAnsi="Arial" w:cs="Arial"/>
          <w:sz w:val="24"/>
          <w:szCs w:val="24"/>
          <w:lang w:eastAsia="en-US"/>
        </w:rPr>
        <w:t xml:space="preserve"> </w:t>
      </w:r>
      <w:r w:rsidRPr="00342F08">
        <w:rPr>
          <w:rFonts w:ascii="Arial" w:eastAsia="Calibri" w:hAnsi="Arial" w:cs="Arial"/>
          <w:sz w:val="24"/>
          <w:szCs w:val="24"/>
          <w:lang w:eastAsia="en-US"/>
        </w:rPr>
        <w:t>allgemeinen wirtschaftlichen und finanziellen Verhältnisse angemessenen Lebensunterhalts nicht mehr zweifelsfrei sichergestellt ist (vgl. BVerfG, Urt</w:t>
      </w:r>
      <w:r w:rsidR="000140AD">
        <w:rPr>
          <w:rFonts w:ascii="Arial" w:eastAsia="Calibri" w:hAnsi="Arial" w:cs="Arial"/>
          <w:sz w:val="24"/>
          <w:szCs w:val="24"/>
          <w:lang w:eastAsia="en-US"/>
        </w:rPr>
        <w:t>.</w:t>
      </w:r>
      <w:r w:rsidRPr="00342F08">
        <w:rPr>
          <w:rFonts w:ascii="Arial" w:eastAsia="Calibri" w:hAnsi="Arial" w:cs="Arial"/>
          <w:sz w:val="24"/>
          <w:szCs w:val="24"/>
          <w:lang w:eastAsia="en-US"/>
        </w:rPr>
        <w:t xml:space="preserve"> v</w:t>
      </w:r>
      <w:r w:rsidR="000140AD">
        <w:rPr>
          <w:rFonts w:ascii="Arial" w:eastAsia="Calibri" w:hAnsi="Arial" w:cs="Arial"/>
          <w:sz w:val="24"/>
          <w:szCs w:val="24"/>
          <w:lang w:eastAsia="en-US"/>
        </w:rPr>
        <w:t>.</w:t>
      </w:r>
      <w:r w:rsidRPr="00342F08">
        <w:rPr>
          <w:rFonts w:ascii="Arial" w:eastAsia="Calibri" w:hAnsi="Arial" w:cs="Arial"/>
          <w:sz w:val="24"/>
          <w:szCs w:val="24"/>
          <w:lang w:eastAsia="en-US"/>
        </w:rPr>
        <w:t xml:space="preserve"> 5.</w:t>
      </w:r>
      <w:r w:rsidR="00052A8A">
        <w:rPr>
          <w:rFonts w:ascii="Arial" w:eastAsia="Calibri" w:hAnsi="Arial" w:cs="Arial"/>
          <w:sz w:val="24"/>
          <w:szCs w:val="24"/>
          <w:lang w:eastAsia="en-US"/>
        </w:rPr>
        <w:t xml:space="preserve"> </w:t>
      </w:r>
      <w:r w:rsidRPr="00342F08">
        <w:rPr>
          <w:rFonts w:ascii="Arial" w:eastAsia="Calibri" w:hAnsi="Arial" w:cs="Arial"/>
          <w:sz w:val="24"/>
          <w:szCs w:val="24"/>
          <w:lang w:eastAsia="en-US"/>
        </w:rPr>
        <w:t>Mai 2015 – 2 BvL 17/09 – juris Rn. 158).</w:t>
      </w:r>
    </w:p>
    <w:p w14:paraId="6219ED71" w14:textId="77777777" w:rsidR="008B3CB7" w:rsidRDefault="008B3CB7"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581CF22" w14:textId="15ED25D3" w:rsidR="003239E1" w:rsidRP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239E1">
        <w:rPr>
          <w:rFonts w:ascii="Arial" w:eastAsia="Calibri" w:hAnsi="Arial" w:cs="Arial"/>
          <w:sz w:val="24"/>
          <w:szCs w:val="24"/>
          <w:lang w:eastAsia="en-US"/>
        </w:rPr>
        <w:t xml:space="preserve">dd) In der Gesamtabwägung ergibt sich, dass die Bemessung der Grundgehaltssätze der Besoldungsgruppen </w:t>
      </w:r>
      <w:r w:rsidRPr="003C4848">
        <w:rPr>
          <w:rFonts w:ascii="Arial" w:eastAsia="Calibri" w:hAnsi="Arial" w:cs="Arial"/>
          <w:color w:val="00B050"/>
          <w:sz w:val="24"/>
          <w:szCs w:val="24"/>
          <w:lang w:eastAsia="en-US"/>
        </w:rPr>
        <w:t xml:space="preserve">R 1 </w:t>
      </w:r>
      <w:r w:rsidR="00F32B86" w:rsidRPr="003C4848">
        <w:rPr>
          <w:rFonts w:ascii="Arial" w:eastAsia="Calibri" w:hAnsi="Arial" w:cs="Arial"/>
          <w:color w:val="00B050"/>
          <w:sz w:val="24"/>
          <w:szCs w:val="24"/>
          <w:lang w:eastAsia="en-US"/>
        </w:rPr>
        <w:t>und R 2</w:t>
      </w:r>
      <w:r w:rsidRPr="003C4848">
        <w:rPr>
          <w:rFonts w:ascii="Arial" w:eastAsia="Calibri" w:hAnsi="Arial" w:cs="Arial"/>
          <w:color w:val="00B050"/>
          <w:sz w:val="24"/>
          <w:szCs w:val="24"/>
          <w:lang w:eastAsia="en-US"/>
        </w:rPr>
        <w:t xml:space="preserve"> </w:t>
      </w:r>
      <w:r w:rsidRPr="003239E1">
        <w:rPr>
          <w:rFonts w:ascii="Arial" w:eastAsia="Calibri" w:hAnsi="Arial" w:cs="Arial"/>
          <w:sz w:val="24"/>
          <w:szCs w:val="24"/>
          <w:lang w:eastAsia="en-US"/>
        </w:rPr>
        <w:t>in Berlin im verfahrensgegenständlichen Zeitraum nicht mehr amtsangemessen war.</w:t>
      </w:r>
    </w:p>
    <w:p w14:paraId="63EEE8DE" w14:textId="7D5AFC8D" w:rsidR="003239E1" w:rsidRP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F686836" w14:textId="1FC5E831" w:rsidR="003239E1" w:rsidRP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239E1">
        <w:rPr>
          <w:rFonts w:ascii="Arial" w:eastAsia="Calibri" w:hAnsi="Arial" w:cs="Arial"/>
          <w:sz w:val="24"/>
          <w:szCs w:val="24"/>
          <w:lang w:eastAsia="en-US"/>
        </w:rPr>
        <w:t>3.</w:t>
      </w:r>
      <w:r w:rsidR="003E7DE0">
        <w:rPr>
          <w:rFonts w:ascii="Arial" w:eastAsia="Calibri" w:hAnsi="Arial" w:cs="Arial"/>
          <w:sz w:val="24"/>
          <w:szCs w:val="24"/>
          <w:lang w:eastAsia="en-US"/>
        </w:rPr>
        <w:t xml:space="preserve"> </w:t>
      </w:r>
      <w:r w:rsidRPr="003239E1">
        <w:rPr>
          <w:rFonts w:ascii="Arial" w:eastAsia="Calibri" w:hAnsi="Arial" w:cs="Arial"/>
          <w:sz w:val="24"/>
          <w:szCs w:val="24"/>
          <w:lang w:eastAsia="en-US"/>
        </w:rPr>
        <w:t>Kollidierendes Verfassungsrecht vermag die Unterschreitung des durch Art. 33 Abs. 5 GG gebotenen Besoldungsniveaus nicht zu rechtfertigen</w:t>
      </w:r>
      <w:r w:rsidR="00824F3B">
        <w:rPr>
          <w:rFonts w:ascii="Arial" w:eastAsia="Calibri" w:hAnsi="Arial" w:cs="Arial"/>
          <w:sz w:val="24"/>
          <w:szCs w:val="24"/>
          <w:lang w:eastAsia="en-US"/>
        </w:rPr>
        <w:t xml:space="preserve"> (</w:t>
      </w:r>
      <w:r w:rsidR="00824F3B" w:rsidRPr="00824F3B">
        <w:rPr>
          <w:rFonts w:ascii="Arial" w:eastAsia="Calibri" w:hAnsi="Arial" w:cs="Arial"/>
          <w:b/>
          <w:bCs/>
          <w:sz w:val="24"/>
          <w:szCs w:val="24"/>
          <w:lang w:eastAsia="en-US"/>
        </w:rPr>
        <w:t>dritte Prüfungsstufe</w:t>
      </w:r>
      <w:r w:rsidR="00824F3B">
        <w:rPr>
          <w:rFonts w:ascii="Arial" w:eastAsia="Calibri" w:hAnsi="Arial" w:cs="Arial"/>
          <w:sz w:val="24"/>
          <w:szCs w:val="24"/>
          <w:lang w:eastAsia="en-US"/>
        </w:rPr>
        <w:t>)</w:t>
      </w:r>
      <w:r w:rsidRPr="003239E1">
        <w:rPr>
          <w:rFonts w:ascii="Arial" w:eastAsia="Calibri" w:hAnsi="Arial" w:cs="Arial"/>
          <w:sz w:val="24"/>
          <w:szCs w:val="24"/>
          <w:lang w:eastAsia="en-US"/>
        </w:rPr>
        <w:t xml:space="preserve">. </w:t>
      </w:r>
      <w:r w:rsidR="00F32B86">
        <w:rPr>
          <w:rFonts w:ascii="Arial" w:eastAsia="Calibri" w:hAnsi="Arial" w:cs="Arial"/>
          <w:sz w:val="24"/>
          <w:szCs w:val="24"/>
          <w:lang w:eastAsia="en-US"/>
        </w:rPr>
        <w:t xml:space="preserve">Es ist nicht ersichtlich, </w:t>
      </w:r>
      <w:r w:rsidRPr="003239E1">
        <w:rPr>
          <w:rFonts w:ascii="Arial" w:eastAsia="Calibri" w:hAnsi="Arial" w:cs="Arial"/>
          <w:sz w:val="24"/>
          <w:szCs w:val="24"/>
          <w:lang w:eastAsia="en-US"/>
        </w:rPr>
        <w:t>dass die teilweise drastische Abkopplung der Besoldung der Richter und Staatsanwälte von der allgemeinen wirtschaftlichen Entwicklung in Berlin, wie sie nicht zuletzt in den Tarifabschlüssen zum Ausdruck gekommen ist, Teil eines schlüssigen und umfassenden Konzepts der Haushaltskonsolidierung gewesen wäre, bei dem die Einsparungen – wie es mit Blick auf Art. 3 Abs. 1 GG geboten ist</w:t>
      </w:r>
      <w:r w:rsidR="00F32B86">
        <w:rPr>
          <w:rFonts w:ascii="Arial" w:eastAsia="Calibri" w:hAnsi="Arial" w:cs="Arial"/>
          <w:sz w:val="24"/>
          <w:szCs w:val="24"/>
          <w:lang w:eastAsia="en-US"/>
        </w:rPr>
        <w:t xml:space="preserve"> </w:t>
      </w:r>
      <w:r w:rsidRPr="003239E1">
        <w:rPr>
          <w:rFonts w:ascii="Arial" w:eastAsia="Calibri" w:hAnsi="Arial" w:cs="Arial"/>
          <w:sz w:val="24"/>
          <w:szCs w:val="24"/>
          <w:lang w:eastAsia="en-US"/>
        </w:rPr>
        <w:t>– gleichheitsgerecht erwirtschaftet werden sollten. Dies ist aber Voraussetzung dafür, eine Einschränkung des Grundsatzes der amtsangemessenen Alimentation mit Blick auf die Verpflichtung zur Haushaltskonsolidierung (Art.</w:t>
      </w:r>
      <w:r w:rsidR="002B00E1" w:rsidRPr="002B00E1">
        <w:rPr>
          <w:rFonts w:ascii="Arial" w:eastAsia="Calibri" w:hAnsi="Arial" w:cs="Arial"/>
          <w:sz w:val="24"/>
          <w:szCs w:val="24"/>
          <w:lang w:eastAsia="en-US"/>
        </w:rPr>
        <w:t xml:space="preserve"> </w:t>
      </w:r>
      <w:r w:rsidR="002B00E1">
        <w:rPr>
          <w:rFonts w:ascii="Arial" w:eastAsia="Calibri" w:hAnsi="Arial" w:cs="Arial"/>
          <w:sz w:val="24"/>
          <w:szCs w:val="24"/>
          <w:lang w:eastAsia="en-US"/>
        </w:rPr>
        <w:t> </w:t>
      </w:r>
      <w:r w:rsidRPr="003239E1">
        <w:rPr>
          <w:rFonts w:ascii="Arial" w:eastAsia="Calibri" w:hAnsi="Arial" w:cs="Arial"/>
          <w:sz w:val="24"/>
          <w:szCs w:val="24"/>
          <w:lang w:eastAsia="en-US"/>
        </w:rPr>
        <w:t>109 Abs.</w:t>
      </w:r>
      <w:r w:rsidR="00810932">
        <w:rPr>
          <w:rFonts w:ascii="Arial" w:eastAsia="Calibri" w:hAnsi="Arial" w:cs="Arial"/>
          <w:sz w:val="24"/>
          <w:szCs w:val="24"/>
          <w:lang w:eastAsia="en-US"/>
        </w:rPr>
        <w:t> </w:t>
      </w:r>
      <w:r w:rsidRPr="003239E1">
        <w:rPr>
          <w:rFonts w:ascii="Arial" w:eastAsia="Calibri" w:hAnsi="Arial" w:cs="Arial"/>
          <w:sz w:val="24"/>
          <w:szCs w:val="24"/>
          <w:lang w:eastAsia="en-US"/>
        </w:rPr>
        <w:t>3 Satz 1 i.V.m. Art. 143d Abs. 1 GG) zu rechtfertigen.</w:t>
      </w:r>
    </w:p>
    <w:p w14:paraId="229C1524" w14:textId="079EF1D4" w:rsidR="003239E1" w:rsidRPr="003239E1"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78C845A" w14:textId="23AD0C7B" w:rsidR="005262C3" w:rsidRDefault="005262C3"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a) </w:t>
      </w:r>
      <w:r w:rsidR="00F32B86">
        <w:rPr>
          <w:rFonts w:ascii="Arial" w:eastAsia="Calibri" w:hAnsi="Arial" w:cs="Arial"/>
          <w:sz w:val="24"/>
          <w:szCs w:val="24"/>
          <w:lang w:eastAsia="en-US"/>
        </w:rPr>
        <w:t>E</w:t>
      </w:r>
      <w:r w:rsidR="003239E1" w:rsidRPr="003239E1">
        <w:rPr>
          <w:rFonts w:ascii="Arial" w:eastAsia="Calibri" w:hAnsi="Arial" w:cs="Arial"/>
          <w:sz w:val="24"/>
          <w:szCs w:val="24"/>
          <w:lang w:eastAsia="en-US"/>
        </w:rPr>
        <w:t xml:space="preserve">iner Rechtfertigung der Unterschreitung des durch Art. 33 Abs. 5 GG gebotenen Besoldungsniveaus </w:t>
      </w:r>
      <w:r w:rsidR="00F32B86">
        <w:rPr>
          <w:rFonts w:ascii="Arial" w:eastAsia="Calibri" w:hAnsi="Arial" w:cs="Arial"/>
          <w:sz w:val="24"/>
          <w:szCs w:val="24"/>
          <w:lang w:eastAsia="en-US"/>
        </w:rPr>
        <w:t xml:space="preserve">steht bereits </w:t>
      </w:r>
      <w:r w:rsidR="003239E1" w:rsidRPr="003239E1">
        <w:rPr>
          <w:rFonts w:ascii="Arial" w:eastAsia="Calibri" w:hAnsi="Arial" w:cs="Arial"/>
          <w:sz w:val="24"/>
          <w:szCs w:val="24"/>
          <w:lang w:eastAsia="en-US"/>
        </w:rPr>
        <w:t>entgegen, dass nicht einmal der Versuch unternommen wurde</w:t>
      </w:r>
      <w:r w:rsidR="00E42EF6">
        <w:rPr>
          <w:rFonts w:ascii="Arial" w:eastAsia="Calibri" w:hAnsi="Arial" w:cs="Arial"/>
          <w:sz w:val="24"/>
          <w:szCs w:val="24"/>
          <w:lang w:eastAsia="en-US"/>
        </w:rPr>
        <w:t xml:space="preserve">, </w:t>
      </w:r>
      <w:r w:rsidR="003239E1" w:rsidRPr="003239E1">
        <w:rPr>
          <w:rFonts w:ascii="Arial" w:eastAsia="Calibri" w:hAnsi="Arial" w:cs="Arial"/>
          <w:sz w:val="24"/>
          <w:szCs w:val="24"/>
          <w:lang w:eastAsia="en-US"/>
        </w:rPr>
        <w:t xml:space="preserve">die Einsparungen gleichheitsgerecht zu erwirtschaften. Im ersten gemäß der Vereinbarung zum Sanierungsprogramm nach § 5 des Stabilitätsratsgesetzes vom 10. August 2009 (BGBl I S. 2702) erstellten Bericht wurde hinsichtlich der Begrenzung der Personalausgaben nur mitgeteilt, dass am genannten Ziel der Absenkung des Personalbestands festgehalten und hierfür die natürliche Fluktuation genutzt werde. Der zweite Bericht bezifferte die Einsparungen, die 2013 und 2014 durch Absenkung des Besoldungs- beziehungsweise Entgeltniveaus im Bereich der Beamten und der Tarifbeschäftigten erzielt werden sollten. Während die geplanten Einsparungen bei den Beamten mit einer im Vergleich zum bundesweiten Durchschnitt rund 6,8 % niedrigeren Besoldung erklärt wurden, wurde zugleich hinsichtlich der Tarifbeschäftigten mitgeteilt, dass zum Oktober 2011 das Entgeltniveau auf 97 % des TV-L </w:t>
      </w:r>
      <w:r w:rsidR="003239E1" w:rsidRPr="003239E1">
        <w:rPr>
          <w:rFonts w:ascii="Arial" w:eastAsia="Calibri" w:hAnsi="Arial" w:cs="Arial"/>
          <w:sz w:val="24"/>
          <w:szCs w:val="24"/>
          <w:lang w:eastAsia="en-US"/>
        </w:rPr>
        <w:lastRenderedPageBreak/>
        <w:t xml:space="preserve">angehoben worden sei und der verbliebene Abstand in den Folgejahren sukzessive abgebaut werde. In den Finanzplanungen 2010 bis 2014 und 2013 bis 2017 wurde wiederum nur pauschal ein Konsolidierungsbeitrag durch Reduzierung der Neueinstellungen beziehungsweise durch Begrenzung der Personalausgaben ausgewiesen. </w:t>
      </w:r>
    </w:p>
    <w:p w14:paraId="7D2E0146" w14:textId="77777777" w:rsidR="005262C3" w:rsidRDefault="005262C3"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E118ADB" w14:textId="6D870AC7" w:rsidR="005262C3" w:rsidRDefault="003239E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3239E1">
        <w:rPr>
          <w:rFonts w:ascii="Arial" w:eastAsia="Calibri" w:hAnsi="Arial" w:cs="Arial"/>
          <w:sz w:val="24"/>
          <w:szCs w:val="24"/>
          <w:lang w:eastAsia="en-US"/>
        </w:rPr>
        <w:t>Diese Finanzplanung bestätigt den auf der ersten Prüfungsstufe gewonnenen Eindruck, dass das Land Berlin die Besoldung sehenden Auges hinter die von ihm ausgehandelten Tariflöhne hat zurückfallen lassen.</w:t>
      </w:r>
      <w:r w:rsidR="006B586F">
        <w:rPr>
          <w:rFonts w:ascii="Arial" w:eastAsia="Calibri" w:hAnsi="Arial" w:cs="Arial"/>
          <w:sz w:val="24"/>
          <w:szCs w:val="24"/>
          <w:lang w:eastAsia="en-US"/>
        </w:rPr>
        <w:t xml:space="preserve"> </w:t>
      </w:r>
    </w:p>
    <w:p w14:paraId="18F2DA41" w14:textId="77777777" w:rsidR="005262C3" w:rsidRDefault="005262C3"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59DF431B" w14:textId="77777777" w:rsidR="00132EC4" w:rsidRDefault="005262C3"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 xml:space="preserve">b) </w:t>
      </w:r>
      <w:r w:rsidR="006B586F">
        <w:rPr>
          <w:rFonts w:ascii="Arial" w:eastAsia="Calibri" w:hAnsi="Arial" w:cs="Arial"/>
          <w:sz w:val="24"/>
          <w:szCs w:val="24"/>
          <w:lang w:eastAsia="en-US"/>
        </w:rPr>
        <w:t xml:space="preserve">Hieran hat sich auch in den Folgejahren nichts geändert. </w:t>
      </w:r>
    </w:p>
    <w:p w14:paraId="008B8983" w14:textId="77777777" w:rsidR="00132EC4" w:rsidRDefault="00132EC4"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30889D66" w14:textId="23851970" w:rsidR="00132EC4" w:rsidRDefault="006B586F"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Bezeichnend ist</w:t>
      </w:r>
      <w:r w:rsidR="001E6457">
        <w:rPr>
          <w:rFonts w:ascii="Arial" w:eastAsia="Calibri" w:hAnsi="Arial" w:cs="Arial"/>
          <w:sz w:val="24"/>
          <w:szCs w:val="24"/>
          <w:lang w:eastAsia="en-US"/>
        </w:rPr>
        <w:t xml:space="preserve"> zum einen</w:t>
      </w:r>
      <w:r>
        <w:rPr>
          <w:rFonts w:ascii="Arial" w:eastAsia="Calibri" w:hAnsi="Arial" w:cs="Arial"/>
          <w:sz w:val="24"/>
          <w:szCs w:val="24"/>
          <w:lang w:eastAsia="en-US"/>
        </w:rPr>
        <w:t xml:space="preserve">, dass das Land Berlin die Entscheidung des Bundesverfassungsgerichts </w:t>
      </w:r>
      <w:r w:rsidR="00354271">
        <w:rPr>
          <w:rFonts w:ascii="Arial" w:eastAsia="Calibri" w:hAnsi="Arial" w:cs="Arial"/>
          <w:sz w:val="24"/>
          <w:szCs w:val="24"/>
          <w:lang w:eastAsia="en-US"/>
        </w:rPr>
        <w:t>(</w:t>
      </w:r>
      <w:r w:rsidR="004A09A1">
        <w:rPr>
          <w:rFonts w:ascii="Arial" w:eastAsia="Calibri" w:hAnsi="Arial" w:cs="Arial"/>
          <w:sz w:val="24"/>
          <w:szCs w:val="24"/>
          <w:lang w:eastAsia="en-US"/>
        </w:rPr>
        <w:t xml:space="preserve">Besch. v. 4.5.2020, </w:t>
      </w:r>
      <w:r w:rsidR="000140AD" w:rsidRPr="00934904">
        <w:rPr>
          <w:rFonts w:ascii="Arial" w:eastAsia="Calibri" w:hAnsi="Arial" w:cs="Arial"/>
          <w:sz w:val="24"/>
          <w:szCs w:val="24"/>
          <w:lang w:eastAsia="en-US"/>
        </w:rPr>
        <w:t>2 BvL 4/18</w:t>
      </w:r>
      <w:r>
        <w:rPr>
          <w:rFonts w:ascii="Arial" w:eastAsia="Calibri" w:hAnsi="Arial" w:cs="Arial"/>
          <w:sz w:val="24"/>
          <w:szCs w:val="24"/>
          <w:lang w:eastAsia="en-US"/>
        </w:rPr>
        <w:t xml:space="preserve">) nicht zum Anlass genommen hat, die ganz offensichtlich verfassungswidrige Unteralimentation der </w:t>
      </w:r>
      <w:r w:rsidR="002A09DF">
        <w:rPr>
          <w:rFonts w:ascii="Arial" w:eastAsia="Calibri" w:hAnsi="Arial" w:cs="Arial"/>
          <w:sz w:val="24"/>
          <w:szCs w:val="24"/>
          <w:lang w:eastAsia="en-US"/>
        </w:rPr>
        <w:t xml:space="preserve">Berliner </w:t>
      </w:r>
      <w:r>
        <w:rPr>
          <w:rFonts w:ascii="Arial" w:eastAsia="Calibri" w:hAnsi="Arial" w:cs="Arial"/>
          <w:sz w:val="24"/>
          <w:szCs w:val="24"/>
          <w:lang w:eastAsia="en-US"/>
        </w:rPr>
        <w:t xml:space="preserve">Beamten und Richter in den Jahren 2009 bis </w:t>
      </w:r>
      <w:r w:rsidR="001E6457">
        <w:rPr>
          <w:rFonts w:ascii="Arial" w:eastAsia="Calibri" w:hAnsi="Arial" w:cs="Arial"/>
          <w:sz w:val="24"/>
          <w:szCs w:val="24"/>
          <w:lang w:eastAsia="en-US"/>
        </w:rPr>
        <w:t xml:space="preserve">2015 </w:t>
      </w:r>
      <w:r w:rsidR="002A09DF">
        <w:rPr>
          <w:rFonts w:ascii="Arial" w:eastAsia="Calibri" w:hAnsi="Arial" w:cs="Arial"/>
          <w:sz w:val="24"/>
          <w:szCs w:val="24"/>
          <w:lang w:eastAsia="en-US"/>
        </w:rPr>
        <w:t>zumindest für all diejenigen Beamte</w:t>
      </w:r>
      <w:r w:rsidR="001E6457">
        <w:rPr>
          <w:rFonts w:ascii="Arial" w:eastAsia="Calibri" w:hAnsi="Arial" w:cs="Arial"/>
          <w:sz w:val="24"/>
          <w:szCs w:val="24"/>
          <w:lang w:eastAsia="en-US"/>
        </w:rPr>
        <w:t>n</w:t>
      </w:r>
      <w:r w:rsidR="002A09DF">
        <w:rPr>
          <w:rFonts w:ascii="Arial" w:eastAsia="Calibri" w:hAnsi="Arial" w:cs="Arial"/>
          <w:sz w:val="24"/>
          <w:szCs w:val="24"/>
          <w:lang w:eastAsia="en-US"/>
        </w:rPr>
        <w:t xml:space="preserve"> und Richter rückwirkend zu beheben, welche sich gegen die Höhe ihrer Besoldung zeitnah mit statthaften Rechtsbehelfen gewehrt haben. </w:t>
      </w:r>
      <w:r w:rsidR="004325F8">
        <w:rPr>
          <w:rFonts w:ascii="Arial" w:eastAsia="Calibri" w:hAnsi="Arial" w:cs="Arial"/>
          <w:sz w:val="24"/>
          <w:szCs w:val="24"/>
          <w:lang w:eastAsia="en-US"/>
        </w:rPr>
        <w:t>Vielmehr hat d</w:t>
      </w:r>
      <w:r w:rsidR="004325F8" w:rsidRPr="004325F8">
        <w:rPr>
          <w:rFonts w:ascii="Arial" w:eastAsia="Calibri" w:hAnsi="Arial" w:cs="Arial"/>
          <w:sz w:val="24"/>
          <w:szCs w:val="24"/>
          <w:lang w:eastAsia="en-US"/>
        </w:rPr>
        <w:t xml:space="preserve">as Land Berlin die </w:t>
      </w:r>
      <w:r w:rsidR="004325F8">
        <w:rPr>
          <w:rFonts w:ascii="Arial" w:eastAsia="Calibri" w:hAnsi="Arial" w:cs="Arial"/>
          <w:sz w:val="24"/>
          <w:szCs w:val="24"/>
          <w:lang w:eastAsia="en-US"/>
        </w:rPr>
        <w:t xml:space="preserve">vorgenannte </w:t>
      </w:r>
      <w:r w:rsidR="004325F8" w:rsidRPr="004325F8">
        <w:rPr>
          <w:rFonts w:ascii="Arial" w:eastAsia="Calibri" w:hAnsi="Arial" w:cs="Arial"/>
          <w:sz w:val="24"/>
          <w:szCs w:val="24"/>
          <w:lang w:eastAsia="en-US"/>
        </w:rPr>
        <w:t xml:space="preserve">Entscheidung des </w:t>
      </w:r>
      <w:r w:rsidR="004325F8">
        <w:rPr>
          <w:rFonts w:ascii="Arial" w:eastAsia="Calibri" w:hAnsi="Arial" w:cs="Arial"/>
          <w:sz w:val="24"/>
          <w:szCs w:val="24"/>
          <w:lang w:eastAsia="en-US"/>
        </w:rPr>
        <w:t>Bundesverfassungsgerichts</w:t>
      </w:r>
      <w:r w:rsidR="004325F8" w:rsidRPr="004325F8">
        <w:rPr>
          <w:rFonts w:ascii="Arial" w:eastAsia="Calibri" w:hAnsi="Arial" w:cs="Arial"/>
          <w:sz w:val="24"/>
          <w:szCs w:val="24"/>
          <w:lang w:eastAsia="en-US"/>
        </w:rPr>
        <w:t xml:space="preserve"> zur Richterbesoldung ausschließlich für die Zeiträume und Besoldungsgruppen umgesetzt, die Gegenstand des Beschlusses waren. Die Nachbesserungspflicht wurde ausschließlich im Umfang des Tenors der Entscheidung anerkannt, obwohl </w:t>
      </w:r>
      <w:r w:rsidR="00563A0C">
        <w:rPr>
          <w:rFonts w:ascii="Arial" w:eastAsia="Calibri" w:hAnsi="Arial" w:cs="Arial"/>
          <w:sz w:val="24"/>
          <w:szCs w:val="24"/>
          <w:lang w:eastAsia="en-US"/>
        </w:rPr>
        <w:t>offensichtlich i</w:t>
      </w:r>
      <w:r w:rsidR="004325F8" w:rsidRPr="004325F8">
        <w:rPr>
          <w:rFonts w:ascii="Arial" w:eastAsia="Calibri" w:hAnsi="Arial" w:cs="Arial"/>
          <w:sz w:val="24"/>
          <w:szCs w:val="24"/>
          <w:lang w:eastAsia="en-US"/>
        </w:rPr>
        <w:t xml:space="preserve">st, dass für andere Besoldungsgruppen weitere Nachzahlungsansprüche bestehen. </w:t>
      </w:r>
    </w:p>
    <w:p w14:paraId="29AD6AD1" w14:textId="77777777" w:rsidR="00132EC4" w:rsidRDefault="00132EC4"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26C6B3C" w14:textId="05EB29C0" w:rsidR="004325F8" w:rsidRDefault="001E6457"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Bezeichnend ist zum zweiten, dass a</w:t>
      </w:r>
      <w:r w:rsidR="00563A0C">
        <w:rPr>
          <w:rFonts w:ascii="Arial" w:eastAsia="Calibri" w:hAnsi="Arial" w:cs="Arial"/>
          <w:sz w:val="24"/>
          <w:szCs w:val="24"/>
          <w:lang w:eastAsia="en-US"/>
        </w:rPr>
        <w:t xml:space="preserve">uch die Rechtsprechung des Bundesverfassungsgerichts </w:t>
      </w:r>
      <w:r w:rsidR="004325F8" w:rsidRPr="004325F8">
        <w:rPr>
          <w:rFonts w:ascii="Arial" w:eastAsia="Calibri" w:hAnsi="Arial" w:cs="Arial"/>
          <w:sz w:val="24"/>
          <w:szCs w:val="24"/>
          <w:lang w:eastAsia="en-US"/>
        </w:rPr>
        <w:t>zur Besoldung kinderreicher</w:t>
      </w:r>
      <w:r w:rsidR="00563A0C">
        <w:rPr>
          <w:rFonts w:ascii="Arial" w:eastAsia="Calibri" w:hAnsi="Arial" w:cs="Arial"/>
          <w:sz w:val="24"/>
          <w:szCs w:val="24"/>
          <w:lang w:eastAsia="en-US"/>
        </w:rPr>
        <w:t xml:space="preserve"> </w:t>
      </w:r>
      <w:r w:rsidR="004325F8" w:rsidRPr="004325F8">
        <w:rPr>
          <w:rFonts w:ascii="Arial" w:eastAsia="Calibri" w:hAnsi="Arial" w:cs="Arial"/>
          <w:sz w:val="24"/>
          <w:szCs w:val="24"/>
          <w:lang w:eastAsia="en-US"/>
        </w:rPr>
        <w:t>Richter bei der Formulierung des Reparaturgesetzes bewusst nicht beachtet</w:t>
      </w:r>
      <w:r>
        <w:rPr>
          <w:rFonts w:ascii="Arial" w:eastAsia="Calibri" w:hAnsi="Arial" w:cs="Arial"/>
          <w:sz w:val="24"/>
          <w:szCs w:val="24"/>
          <w:lang w:eastAsia="en-US"/>
        </w:rPr>
        <w:t xml:space="preserve"> wurde</w:t>
      </w:r>
      <w:r w:rsidR="004325F8" w:rsidRPr="004325F8">
        <w:rPr>
          <w:rFonts w:ascii="Arial" w:eastAsia="Calibri" w:hAnsi="Arial" w:cs="Arial"/>
          <w:sz w:val="24"/>
          <w:szCs w:val="24"/>
          <w:lang w:eastAsia="en-US"/>
        </w:rPr>
        <w:t xml:space="preserve">. Ansprüche für Familien mit mehr als zwei Kindern sind </w:t>
      </w:r>
      <w:r>
        <w:rPr>
          <w:rFonts w:ascii="Arial" w:eastAsia="Calibri" w:hAnsi="Arial" w:cs="Arial"/>
          <w:sz w:val="24"/>
          <w:szCs w:val="24"/>
          <w:lang w:eastAsia="en-US"/>
        </w:rPr>
        <w:t xml:space="preserve">darin </w:t>
      </w:r>
      <w:r w:rsidR="004325F8" w:rsidRPr="004325F8">
        <w:rPr>
          <w:rFonts w:ascii="Arial" w:eastAsia="Calibri" w:hAnsi="Arial" w:cs="Arial"/>
          <w:sz w:val="24"/>
          <w:szCs w:val="24"/>
          <w:lang w:eastAsia="en-US"/>
        </w:rPr>
        <w:t>nicht geregelt worden. Damit missachtet das Land Berlin die Bindungswirkung der ergangenen Entscheidungen</w:t>
      </w:r>
      <w:r w:rsidR="00487B93">
        <w:rPr>
          <w:rFonts w:ascii="Arial" w:eastAsia="Calibri" w:hAnsi="Arial" w:cs="Arial"/>
          <w:sz w:val="24"/>
          <w:szCs w:val="24"/>
          <w:lang w:eastAsia="en-US"/>
        </w:rPr>
        <w:t xml:space="preserve"> des Bundesverfassungsgerichts</w:t>
      </w:r>
      <w:r w:rsidR="004325F8" w:rsidRPr="004325F8">
        <w:rPr>
          <w:rFonts w:ascii="Arial" w:eastAsia="Calibri" w:hAnsi="Arial" w:cs="Arial"/>
          <w:sz w:val="24"/>
          <w:szCs w:val="24"/>
          <w:lang w:eastAsia="en-US"/>
        </w:rPr>
        <w:t xml:space="preserve">. </w:t>
      </w:r>
    </w:p>
    <w:p w14:paraId="3DBDF993" w14:textId="77777777" w:rsidR="001E6457" w:rsidRDefault="001E6457"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0D7E7B6C" w14:textId="1B2966E4" w:rsidR="00612AC2" w:rsidRDefault="001E6457"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Bezeichnend ist zum dritten, dass das Land Berlin etwaige Ansprüche der Richter und Staatsanwälte für die auf das Jahr 2015 folgenden Jahre nicht berechnet hat, so dass sie nicht Gegenstand der Beratungen des Abgeordnetenhauses werden konnten.</w:t>
      </w:r>
      <w:r w:rsidR="005B3159">
        <w:rPr>
          <w:rFonts w:ascii="Arial" w:eastAsia="Calibri" w:hAnsi="Arial" w:cs="Arial"/>
          <w:sz w:val="24"/>
          <w:szCs w:val="24"/>
          <w:lang w:eastAsia="en-US"/>
        </w:rPr>
        <w:t xml:space="preserve"> </w:t>
      </w:r>
      <w:r w:rsidR="0087409F">
        <w:rPr>
          <w:rFonts w:ascii="Arial" w:eastAsia="Calibri" w:hAnsi="Arial" w:cs="Arial"/>
          <w:sz w:val="24"/>
          <w:szCs w:val="24"/>
          <w:lang w:eastAsia="en-US"/>
        </w:rPr>
        <w:t xml:space="preserve">Das Land Berlin hat </w:t>
      </w:r>
      <w:r w:rsidR="00D15852">
        <w:rPr>
          <w:rFonts w:ascii="Arial" w:eastAsia="Calibri" w:hAnsi="Arial" w:cs="Arial"/>
          <w:sz w:val="24"/>
          <w:szCs w:val="24"/>
          <w:lang w:eastAsia="en-US"/>
        </w:rPr>
        <w:t xml:space="preserve">hierdurch </w:t>
      </w:r>
      <w:r w:rsidR="0087409F">
        <w:rPr>
          <w:rFonts w:ascii="Arial" w:eastAsia="Calibri" w:hAnsi="Arial" w:cs="Arial"/>
          <w:sz w:val="24"/>
          <w:szCs w:val="24"/>
          <w:lang w:eastAsia="en-US"/>
        </w:rPr>
        <w:t xml:space="preserve">sogar in Kauf genommen, dass </w:t>
      </w:r>
      <w:r w:rsidR="00C76C72">
        <w:rPr>
          <w:rFonts w:ascii="Arial" w:eastAsia="Calibri" w:hAnsi="Arial" w:cs="Arial"/>
          <w:sz w:val="24"/>
          <w:szCs w:val="24"/>
          <w:lang w:eastAsia="en-US"/>
        </w:rPr>
        <w:t xml:space="preserve">sich für das Jahr 2016 gegenüber dem Jahr 2015 </w:t>
      </w:r>
      <w:r w:rsidR="0087409F">
        <w:rPr>
          <w:rFonts w:ascii="Arial" w:eastAsia="Calibri" w:hAnsi="Arial" w:cs="Arial"/>
          <w:sz w:val="24"/>
          <w:szCs w:val="24"/>
          <w:lang w:eastAsia="en-US"/>
        </w:rPr>
        <w:t xml:space="preserve">eine </w:t>
      </w:r>
      <w:r w:rsidR="00C76C72">
        <w:rPr>
          <w:rFonts w:ascii="Arial" w:eastAsia="Calibri" w:hAnsi="Arial" w:cs="Arial"/>
          <w:sz w:val="24"/>
          <w:szCs w:val="24"/>
          <w:lang w:eastAsia="en-US"/>
        </w:rPr>
        <w:t>Absenkung der Bezüge um 2,23</w:t>
      </w:r>
      <w:r w:rsidR="00132EC4">
        <w:rPr>
          <w:rFonts w:ascii="Arial" w:eastAsia="Calibri" w:hAnsi="Arial" w:cs="Arial"/>
          <w:sz w:val="24"/>
          <w:szCs w:val="24"/>
          <w:lang w:eastAsia="en-US"/>
        </w:rPr>
        <w:t xml:space="preserve"> %</w:t>
      </w:r>
      <w:r w:rsidR="00C76C72">
        <w:rPr>
          <w:rFonts w:ascii="Arial" w:eastAsia="Calibri" w:hAnsi="Arial" w:cs="Arial"/>
          <w:sz w:val="24"/>
          <w:szCs w:val="24"/>
          <w:lang w:eastAsia="en-US"/>
        </w:rPr>
        <w:t xml:space="preserve"> (für R 1) bzw. 2,37</w:t>
      </w:r>
      <w:r w:rsidR="00132EC4">
        <w:rPr>
          <w:rFonts w:ascii="Arial" w:eastAsia="Calibri" w:hAnsi="Arial" w:cs="Arial"/>
          <w:sz w:val="24"/>
          <w:szCs w:val="24"/>
          <w:lang w:eastAsia="en-US"/>
        </w:rPr>
        <w:t xml:space="preserve"> %</w:t>
      </w:r>
      <w:r w:rsidR="00C76C72">
        <w:rPr>
          <w:rFonts w:ascii="Arial" w:eastAsia="Calibri" w:hAnsi="Arial" w:cs="Arial"/>
          <w:sz w:val="24"/>
          <w:szCs w:val="24"/>
          <w:lang w:eastAsia="en-US"/>
        </w:rPr>
        <w:t xml:space="preserve"> (für R 2) </w:t>
      </w:r>
      <w:r w:rsidR="0087409F">
        <w:rPr>
          <w:rFonts w:ascii="Arial" w:eastAsia="Calibri" w:hAnsi="Arial" w:cs="Arial"/>
          <w:sz w:val="24"/>
          <w:szCs w:val="24"/>
          <w:lang w:eastAsia="en-US"/>
        </w:rPr>
        <w:t xml:space="preserve">ergibt, welche </w:t>
      </w:r>
      <w:r w:rsidR="00612AC2">
        <w:rPr>
          <w:rFonts w:ascii="Arial" w:eastAsia="Calibri" w:hAnsi="Arial" w:cs="Arial"/>
          <w:sz w:val="24"/>
          <w:szCs w:val="24"/>
          <w:lang w:eastAsia="en-US"/>
        </w:rPr>
        <w:t xml:space="preserve">nicht </w:t>
      </w:r>
      <w:r w:rsidR="0087409F">
        <w:rPr>
          <w:rFonts w:ascii="Arial" w:eastAsia="Calibri" w:hAnsi="Arial" w:cs="Arial"/>
          <w:sz w:val="24"/>
          <w:szCs w:val="24"/>
          <w:lang w:eastAsia="en-US"/>
        </w:rPr>
        <w:t>zu rechtfertigen ist</w:t>
      </w:r>
      <w:r w:rsidR="00612AC2">
        <w:rPr>
          <w:rFonts w:ascii="Arial" w:eastAsia="Calibri" w:hAnsi="Arial" w:cs="Arial"/>
          <w:sz w:val="24"/>
          <w:szCs w:val="24"/>
          <w:lang w:eastAsia="en-US"/>
        </w:rPr>
        <w:t>.</w:t>
      </w:r>
    </w:p>
    <w:p w14:paraId="7D35BA71" w14:textId="77777777" w:rsidR="00612AC2" w:rsidRDefault="00612AC2"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2AF84D25" w14:textId="6F2B9263" w:rsidR="008E2A62" w:rsidRDefault="00837F41"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sidRPr="00837F41">
        <w:rPr>
          <w:rFonts w:ascii="Arial" w:eastAsia="Calibri" w:hAnsi="Arial" w:cs="Arial"/>
          <w:sz w:val="24"/>
          <w:szCs w:val="24"/>
          <w:lang w:eastAsia="en-US"/>
        </w:rPr>
        <w:t>4.</w:t>
      </w:r>
      <w:r w:rsidR="000D48A8">
        <w:rPr>
          <w:rFonts w:ascii="Arial" w:eastAsia="Calibri" w:hAnsi="Arial" w:cs="Arial"/>
          <w:sz w:val="24"/>
          <w:szCs w:val="24"/>
          <w:lang w:eastAsia="en-US"/>
        </w:rPr>
        <w:t xml:space="preserve"> </w:t>
      </w:r>
      <w:r w:rsidR="00A27635" w:rsidRPr="00837F41">
        <w:rPr>
          <w:rFonts w:ascii="Arial" w:eastAsia="Calibri" w:hAnsi="Arial" w:cs="Arial"/>
          <w:sz w:val="24"/>
          <w:szCs w:val="24"/>
          <w:lang w:eastAsia="en-US"/>
        </w:rPr>
        <w:t>Steht hiernach fest, dass d</w:t>
      </w:r>
      <w:r w:rsidR="003239E1" w:rsidRPr="00837F41">
        <w:rPr>
          <w:rFonts w:ascii="Arial" w:eastAsia="Calibri" w:hAnsi="Arial" w:cs="Arial"/>
          <w:sz w:val="24"/>
          <w:szCs w:val="24"/>
          <w:lang w:eastAsia="en-US"/>
        </w:rPr>
        <w:t>ie zur Prüfung gestellte Besoldung den materiellen Anforde</w:t>
      </w:r>
      <w:r w:rsidR="003239E1" w:rsidRPr="003239E1">
        <w:rPr>
          <w:rFonts w:ascii="Arial" w:eastAsia="Calibri" w:hAnsi="Arial" w:cs="Arial"/>
          <w:sz w:val="24"/>
          <w:szCs w:val="24"/>
          <w:lang w:eastAsia="en-US"/>
        </w:rPr>
        <w:t xml:space="preserve">rungen des Alimentationsprinzips nicht genügte, bedarf die Frage nach der Beachtung der prozeduralen Anforderungen keiner </w:t>
      </w:r>
      <w:r w:rsidR="00A27635">
        <w:rPr>
          <w:rFonts w:ascii="Arial" w:eastAsia="Calibri" w:hAnsi="Arial" w:cs="Arial"/>
          <w:sz w:val="24"/>
          <w:szCs w:val="24"/>
          <w:lang w:eastAsia="en-US"/>
        </w:rPr>
        <w:t>Klärung</w:t>
      </w:r>
      <w:r w:rsidR="003239E1" w:rsidRPr="003239E1">
        <w:rPr>
          <w:rFonts w:ascii="Arial" w:eastAsia="Calibri" w:hAnsi="Arial" w:cs="Arial"/>
          <w:sz w:val="24"/>
          <w:szCs w:val="24"/>
          <w:lang w:eastAsia="en-US"/>
        </w:rPr>
        <w:t>.</w:t>
      </w:r>
    </w:p>
    <w:p w14:paraId="5EABBCCB" w14:textId="6137B5FB" w:rsidR="00A27635" w:rsidRDefault="00A27635"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p>
    <w:p w14:paraId="6B6E6FC3" w14:textId="7892568C" w:rsidR="00837F41" w:rsidRDefault="002B5D65" w:rsidP="000D48A8">
      <w:pPr>
        <w:overflowPunct/>
        <w:autoSpaceDE/>
        <w:autoSpaceDN/>
        <w:adjustRightInd/>
        <w:spacing w:line="276" w:lineRule="auto"/>
        <w:contextualSpacing/>
        <w:jc w:val="center"/>
        <w:textAlignment w:val="auto"/>
        <w:rPr>
          <w:rFonts w:ascii="Arial" w:eastAsia="Calibri" w:hAnsi="Arial" w:cs="Arial"/>
          <w:sz w:val="24"/>
          <w:szCs w:val="24"/>
          <w:lang w:eastAsia="en-US"/>
        </w:rPr>
      </w:pPr>
      <w:r>
        <w:rPr>
          <w:rFonts w:ascii="Arial" w:eastAsia="Calibri" w:hAnsi="Arial" w:cs="Arial"/>
          <w:sz w:val="24"/>
          <w:szCs w:val="24"/>
          <w:lang w:eastAsia="en-US"/>
        </w:rPr>
        <w:t>D</w:t>
      </w:r>
      <w:r w:rsidR="00E8639B">
        <w:rPr>
          <w:rFonts w:ascii="Arial" w:eastAsia="Calibri" w:hAnsi="Arial" w:cs="Arial"/>
          <w:sz w:val="24"/>
          <w:szCs w:val="24"/>
          <w:lang w:eastAsia="en-US"/>
        </w:rPr>
        <w:t>.</w:t>
      </w:r>
    </w:p>
    <w:p w14:paraId="055F0AFE" w14:textId="77777777" w:rsidR="00132EC4" w:rsidRDefault="00132EC4" w:rsidP="000D48A8">
      <w:pPr>
        <w:overflowPunct/>
        <w:autoSpaceDE/>
        <w:autoSpaceDN/>
        <w:adjustRightInd/>
        <w:spacing w:line="276" w:lineRule="auto"/>
        <w:contextualSpacing/>
        <w:jc w:val="center"/>
        <w:textAlignment w:val="auto"/>
        <w:rPr>
          <w:rFonts w:ascii="Arial" w:eastAsia="Calibri" w:hAnsi="Arial" w:cs="Arial"/>
          <w:sz w:val="24"/>
          <w:szCs w:val="24"/>
          <w:lang w:eastAsia="en-US"/>
        </w:rPr>
      </w:pPr>
    </w:p>
    <w:p w14:paraId="494BB2B3" w14:textId="3E2D504D" w:rsidR="00A27635" w:rsidRPr="003239E1" w:rsidRDefault="00A27635" w:rsidP="00AD2C4F">
      <w:pPr>
        <w:overflowPunct/>
        <w:autoSpaceDE/>
        <w:autoSpaceDN/>
        <w:adjustRightInd/>
        <w:spacing w:line="276" w:lineRule="auto"/>
        <w:contextualSpacing/>
        <w:jc w:val="both"/>
        <w:textAlignment w:val="auto"/>
        <w:rPr>
          <w:rFonts w:ascii="Arial" w:eastAsia="Calibri" w:hAnsi="Arial" w:cs="Arial"/>
          <w:sz w:val="24"/>
          <w:szCs w:val="24"/>
          <w:lang w:eastAsia="en-US"/>
        </w:rPr>
      </w:pPr>
      <w:r>
        <w:rPr>
          <w:rFonts w:ascii="Arial" w:eastAsia="Calibri" w:hAnsi="Arial" w:cs="Arial"/>
          <w:sz w:val="24"/>
          <w:szCs w:val="24"/>
          <w:lang w:eastAsia="en-US"/>
        </w:rPr>
        <w:t>Die Kostenentscheidung bleibt der Schlussentscheidung vorbehalten.</w:t>
      </w:r>
    </w:p>
    <w:sectPr w:rsidR="00A27635" w:rsidRPr="003239E1" w:rsidSect="005A473B">
      <w:headerReference w:type="default" r:id="rId10"/>
      <w:pgSz w:w="11906" w:h="16838" w:code="9"/>
      <w:pgMar w:top="1440" w:right="1077" w:bottom="1440" w:left="107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618D" w14:textId="77777777" w:rsidR="001A5F4C" w:rsidRDefault="001A5F4C" w:rsidP="00CD20F8">
      <w:r>
        <w:separator/>
      </w:r>
    </w:p>
  </w:endnote>
  <w:endnote w:type="continuationSeparator" w:id="0">
    <w:p w14:paraId="7810FB4E" w14:textId="77777777" w:rsidR="001A5F4C" w:rsidRDefault="001A5F4C" w:rsidP="00CD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B4D" w14:textId="77777777" w:rsidR="001A5F4C" w:rsidRDefault="001A5F4C" w:rsidP="00CD20F8">
      <w:r>
        <w:separator/>
      </w:r>
    </w:p>
  </w:footnote>
  <w:footnote w:type="continuationSeparator" w:id="0">
    <w:p w14:paraId="0BA7DC69" w14:textId="77777777" w:rsidR="001A5F4C" w:rsidRDefault="001A5F4C" w:rsidP="00CD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72D7" w14:textId="1E4E8681" w:rsidR="00B30E5E" w:rsidRPr="00EC0B6B" w:rsidRDefault="00B30E5E">
    <w:pPr>
      <w:pStyle w:val="Kopfzeile"/>
      <w:jc w:val="center"/>
      <w:rPr>
        <w:rFonts w:ascii="Arial" w:hAnsi="Arial" w:cs="Arial"/>
        <w:sz w:val="22"/>
        <w:szCs w:val="22"/>
      </w:rPr>
    </w:pPr>
    <w:r w:rsidRPr="00EC0B6B">
      <w:rPr>
        <w:rFonts w:ascii="Arial" w:hAnsi="Arial" w:cs="Arial"/>
        <w:sz w:val="22"/>
        <w:szCs w:val="22"/>
      </w:rPr>
      <w:t xml:space="preserve">- </w:t>
    </w:r>
    <w:sdt>
      <w:sdtPr>
        <w:rPr>
          <w:rFonts w:ascii="Arial" w:hAnsi="Arial" w:cs="Arial"/>
          <w:sz w:val="22"/>
          <w:szCs w:val="22"/>
        </w:rPr>
        <w:id w:val="1467467897"/>
        <w:docPartObj>
          <w:docPartGallery w:val="Page Numbers (Top of Page)"/>
          <w:docPartUnique/>
        </w:docPartObj>
      </w:sdtPr>
      <w:sdtEndPr/>
      <w:sdtContent>
        <w:r w:rsidRPr="00EC0B6B">
          <w:rPr>
            <w:rFonts w:ascii="Arial" w:hAnsi="Arial" w:cs="Arial"/>
            <w:sz w:val="22"/>
            <w:szCs w:val="22"/>
          </w:rPr>
          <w:fldChar w:fldCharType="begin"/>
        </w:r>
        <w:r w:rsidRPr="00EC0B6B">
          <w:rPr>
            <w:rFonts w:ascii="Arial" w:hAnsi="Arial" w:cs="Arial"/>
            <w:sz w:val="22"/>
            <w:szCs w:val="22"/>
          </w:rPr>
          <w:instrText>PAGE   \* MERGEFORMAT</w:instrText>
        </w:r>
        <w:r w:rsidRPr="00EC0B6B">
          <w:rPr>
            <w:rFonts w:ascii="Arial" w:hAnsi="Arial" w:cs="Arial"/>
            <w:sz w:val="22"/>
            <w:szCs w:val="22"/>
          </w:rPr>
          <w:fldChar w:fldCharType="separate"/>
        </w:r>
        <w:r w:rsidR="00DC788A">
          <w:rPr>
            <w:rFonts w:ascii="Arial" w:hAnsi="Arial" w:cs="Arial"/>
            <w:noProof/>
            <w:sz w:val="22"/>
            <w:szCs w:val="22"/>
          </w:rPr>
          <w:t>34</w:t>
        </w:r>
        <w:r w:rsidRPr="00EC0B6B">
          <w:rPr>
            <w:rFonts w:ascii="Arial" w:hAnsi="Arial" w:cs="Arial"/>
            <w:sz w:val="22"/>
            <w:szCs w:val="22"/>
          </w:rPr>
          <w:fldChar w:fldCharType="end"/>
        </w:r>
      </w:sdtContent>
    </w:sdt>
    <w:r w:rsidRPr="00EC0B6B">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994"/>
    <w:multiLevelType w:val="hybridMultilevel"/>
    <w:tmpl w:val="822AF080"/>
    <w:lvl w:ilvl="0" w:tplc="445CDEE6">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1A421CB3"/>
    <w:multiLevelType w:val="hybridMultilevel"/>
    <w:tmpl w:val="1B9200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EC5AFB"/>
    <w:multiLevelType w:val="hybridMultilevel"/>
    <w:tmpl w:val="B51EDACE"/>
    <w:lvl w:ilvl="0" w:tplc="445CDEE6">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6D9424A9"/>
    <w:multiLevelType w:val="hybridMultilevel"/>
    <w:tmpl w:val="2BC0B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71"/>
    <w:rsid w:val="00002363"/>
    <w:rsid w:val="00002F98"/>
    <w:rsid w:val="00003A18"/>
    <w:rsid w:val="000055A6"/>
    <w:rsid w:val="00007BFC"/>
    <w:rsid w:val="0001078B"/>
    <w:rsid w:val="0001081C"/>
    <w:rsid w:val="00010A93"/>
    <w:rsid w:val="00011243"/>
    <w:rsid w:val="00012B92"/>
    <w:rsid w:val="000134E4"/>
    <w:rsid w:val="00013C32"/>
    <w:rsid w:val="000140AD"/>
    <w:rsid w:val="00015B64"/>
    <w:rsid w:val="0001609A"/>
    <w:rsid w:val="00017E5F"/>
    <w:rsid w:val="000201F0"/>
    <w:rsid w:val="0002086A"/>
    <w:rsid w:val="0002143E"/>
    <w:rsid w:val="000265ED"/>
    <w:rsid w:val="000275A6"/>
    <w:rsid w:val="0003119A"/>
    <w:rsid w:val="0003262B"/>
    <w:rsid w:val="0003302A"/>
    <w:rsid w:val="00033B10"/>
    <w:rsid w:val="00033ED9"/>
    <w:rsid w:val="00037028"/>
    <w:rsid w:val="00037053"/>
    <w:rsid w:val="000371EC"/>
    <w:rsid w:val="000429C9"/>
    <w:rsid w:val="00045A25"/>
    <w:rsid w:val="00047445"/>
    <w:rsid w:val="00052788"/>
    <w:rsid w:val="00052A8A"/>
    <w:rsid w:val="00054F94"/>
    <w:rsid w:val="00062A0B"/>
    <w:rsid w:val="00062E6F"/>
    <w:rsid w:val="00066FFF"/>
    <w:rsid w:val="00067A9A"/>
    <w:rsid w:val="00071026"/>
    <w:rsid w:val="00071578"/>
    <w:rsid w:val="00072A87"/>
    <w:rsid w:val="00072AB5"/>
    <w:rsid w:val="00073A5F"/>
    <w:rsid w:val="00076695"/>
    <w:rsid w:val="00076D27"/>
    <w:rsid w:val="00080B4B"/>
    <w:rsid w:val="000829E2"/>
    <w:rsid w:val="0008359F"/>
    <w:rsid w:val="000858DA"/>
    <w:rsid w:val="00092309"/>
    <w:rsid w:val="00093DF0"/>
    <w:rsid w:val="000944C5"/>
    <w:rsid w:val="00095FF8"/>
    <w:rsid w:val="000A17DE"/>
    <w:rsid w:val="000A3AE5"/>
    <w:rsid w:val="000A3BA3"/>
    <w:rsid w:val="000A66D7"/>
    <w:rsid w:val="000A6DE6"/>
    <w:rsid w:val="000B3127"/>
    <w:rsid w:val="000B64D6"/>
    <w:rsid w:val="000B74E8"/>
    <w:rsid w:val="000B7DF6"/>
    <w:rsid w:val="000C395F"/>
    <w:rsid w:val="000C3CAF"/>
    <w:rsid w:val="000C4293"/>
    <w:rsid w:val="000C4B24"/>
    <w:rsid w:val="000C5B7A"/>
    <w:rsid w:val="000D131F"/>
    <w:rsid w:val="000D2654"/>
    <w:rsid w:val="000D30E0"/>
    <w:rsid w:val="000D421A"/>
    <w:rsid w:val="000D43D9"/>
    <w:rsid w:val="000D48A8"/>
    <w:rsid w:val="000D5BD0"/>
    <w:rsid w:val="000E4A43"/>
    <w:rsid w:val="000E4BB5"/>
    <w:rsid w:val="000E77F1"/>
    <w:rsid w:val="000F0262"/>
    <w:rsid w:val="000F0C7D"/>
    <w:rsid w:val="000F1CED"/>
    <w:rsid w:val="000F313F"/>
    <w:rsid w:val="000F675A"/>
    <w:rsid w:val="000F756F"/>
    <w:rsid w:val="001003ED"/>
    <w:rsid w:val="0010180F"/>
    <w:rsid w:val="001076AC"/>
    <w:rsid w:val="001110D6"/>
    <w:rsid w:val="00111D4A"/>
    <w:rsid w:val="0011370E"/>
    <w:rsid w:val="00113DAB"/>
    <w:rsid w:val="0012007C"/>
    <w:rsid w:val="00122669"/>
    <w:rsid w:val="00127E97"/>
    <w:rsid w:val="00130DFC"/>
    <w:rsid w:val="00131175"/>
    <w:rsid w:val="00132EC4"/>
    <w:rsid w:val="001357FC"/>
    <w:rsid w:val="00141DE2"/>
    <w:rsid w:val="0014242E"/>
    <w:rsid w:val="00143249"/>
    <w:rsid w:val="00143460"/>
    <w:rsid w:val="00146B06"/>
    <w:rsid w:val="00147ACA"/>
    <w:rsid w:val="00150BF4"/>
    <w:rsid w:val="00150C95"/>
    <w:rsid w:val="00150EED"/>
    <w:rsid w:val="001517D6"/>
    <w:rsid w:val="00153304"/>
    <w:rsid w:val="00154DB5"/>
    <w:rsid w:val="0015710D"/>
    <w:rsid w:val="00157397"/>
    <w:rsid w:val="00160DF3"/>
    <w:rsid w:val="00163278"/>
    <w:rsid w:val="001649D7"/>
    <w:rsid w:val="0016512E"/>
    <w:rsid w:val="00166D82"/>
    <w:rsid w:val="001707EE"/>
    <w:rsid w:val="001730C1"/>
    <w:rsid w:val="0017684B"/>
    <w:rsid w:val="00182CF2"/>
    <w:rsid w:val="00183E59"/>
    <w:rsid w:val="0018573E"/>
    <w:rsid w:val="00191787"/>
    <w:rsid w:val="00192445"/>
    <w:rsid w:val="00192F5A"/>
    <w:rsid w:val="0019332A"/>
    <w:rsid w:val="00194F76"/>
    <w:rsid w:val="001A06D2"/>
    <w:rsid w:val="001A1B6F"/>
    <w:rsid w:val="001A4790"/>
    <w:rsid w:val="001A5F4C"/>
    <w:rsid w:val="001A6DF4"/>
    <w:rsid w:val="001A71B1"/>
    <w:rsid w:val="001B1060"/>
    <w:rsid w:val="001B1D3B"/>
    <w:rsid w:val="001B1F14"/>
    <w:rsid w:val="001B2572"/>
    <w:rsid w:val="001B2645"/>
    <w:rsid w:val="001B2959"/>
    <w:rsid w:val="001B2CD5"/>
    <w:rsid w:val="001B2D9E"/>
    <w:rsid w:val="001B61BF"/>
    <w:rsid w:val="001B6FAA"/>
    <w:rsid w:val="001B6FB0"/>
    <w:rsid w:val="001C20BB"/>
    <w:rsid w:val="001C3A47"/>
    <w:rsid w:val="001C4E54"/>
    <w:rsid w:val="001C60CA"/>
    <w:rsid w:val="001D3D2A"/>
    <w:rsid w:val="001D3E77"/>
    <w:rsid w:val="001D4032"/>
    <w:rsid w:val="001D47F6"/>
    <w:rsid w:val="001D5CF1"/>
    <w:rsid w:val="001D6032"/>
    <w:rsid w:val="001D6E0D"/>
    <w:rsid w:val="001E29BB"/>
    <w:rsid w:val="001E6457"/>
    <w:rsid w:val="001F05E2"/>
    <w:rsid w:val="001F2BF6"/>
    <w:rsid w:val="001F6F02"/>
    <w:rsid w:val="001F7CB0"/>
    <w:rsid w:val="001F7D47"/>
    <w:rsid w:val="00200B75"/>
    <w:rsid w:val="00200D88"/>
    <w:rsid w:val="00201185"/>
    <w:rsid w:val="00201B2B"/>
    <w:rsid w:val="002023D3"/>
    <w:rsid w:val="0020539D"/>
    <w:rsid w:val="00205931"/>
    <w:rsid w:val="0020626E"/>
    <w:rsid w:val="0020745F"/>
    <w:rsid w:val="002074F9"/>
    <w:rsid w:val="00210D3B"/>
    <w:rsid w:val="0021265C"/>
    <w:rsid w:val="00221B6F"/>
    <w:rsid w:val="0022325E"/>
    <w:rsid w:val="002232A3"/>
    <w:rsid w:val="00224607"/>
    <w:rsid w:val="00227A9E"/>
    <w:rsid w:val="00230F99"/>
    <w:rsid w:val="00232278"/>
    <w:rsid w:val="002358D8"/>
    <w:rsid w:val="00237B3D"/>
    <w:rsid w:val="00237D7A"/>
    <w:rsid w:val="00240CF2"/>
    <w:rsid w:val="00243E0C"/>
    <w:rsid w:val="0024432C"/>
    <w:rsid w:val="0024579F"/>
    <w:rsid w:val="002469E2"/>
    <w:rsid w:val="00250664"/>
    <w:rsid w:val="00253A0F"/>
    <w:rsid w:val="00257172"/>
    <w:rsid w:val="00257FB7"/>
    <w:rsid w:val="002601DD"/>
    <w:rsid w:val="00261195"/>
    <w:rsid w:val="00261817"/>
    <w:rsid w:val="00261CE5"/>
    <w:rsid w:val="00263255"/>
    <w:rsid w:val="00270759"/>
    <w:rsid w:val="0027123F"/>
    <w:rsid w:val="002736E0"/>
    <w:rsid w:val="00280879"/>
    <w:rsid w:val="00281ED2"/>
    <w:rsid w:val="00282319"/>
    <w:rsid w:val="00283BC0"/>
    <w:rsid w:val="0028619E"/>
    <w:rsid w:val="00287537"/>
    <w:rsid w:val="00287E06"/>
    <w:rsid w:val="002968D8"/>
    <w:rsid w:val="002A028A"/>
    <w:rsid w:val="002A09DF"/>
    <w:rsid w:val="002A165F"/>
    <w:rsid w:val="002A1DEE"/>
    <w:rsid w:val="002A2FAC"/>
    <w:rsid w:val="002A3910"/>
    <w:rsid w:val="002A3D54"/>
    <w:rsid w:val="002A612C"/>
    <w:rsid w:val="002B00E1"/>
    <w:rsid w:val="002B0A1F"/>
    <w:rsid w:val="002B10BD"/>
    <w:rsid w:val="002B5D65"/>
    <w:rsid w:val="002C0A5C"/>
    <w:rsid w:val="002C0A87"/>
    <w:rsid w:val="002D088C"/>
    <w:rsid w:val="002D0A5B"/>
    <w:rsid w:val="002D1E18"/>
    <w:rsid w:val="002D2D30"/>
    <w:rsid w:val="002D67A9"/>
    <w:rsid w:val="002E0932"/>
    <w:rsid w:val="002E0A6A"/>
    <w:rsid w:val="002E2CCE"/>
    <w:rsid w:val="002E33C6"/>
    <w:rsid w:val="002E3402"/>
    <w:rsid w:val="002E53FB"/>
    <w:rsid w:val="002E6A03"/>
    <w:rsid w:val="002E7026"/>
    <w:rsid w:val="002E74B2"/>
    <w:rsid w:val="002E7A98"/>
    <w:rsid w:val="002E7F62"/>
    <w:rsid w:val="002F1451"/>
    <w:rsid w:val="002F2507"/>
    <w:rsid w:val="002F44EF"/>
    <w:rsid w:val="002F642F"/>
    <w:rsid w:val="002F6D27"/>
    <w:rsid w:val="002F799B"/>
    <w:rsid w:val="003018A6"/>
    <w:rsid w:val="003020C0"/>
    <w:rsid w:val="0030307D"/>
    <w:rsid w:val="003038AA"/>
    <w:rsid w:val="00304FF9"/>
    <w:rsid w:val="00305125"/>
    <w:rsid w:val="00305389"/>
    <w:rsid w:val="003061C3"/>
    <w:rsid w:val="003063E5"/>
    <w:rsid w:val="00306E1E"/>
    <w:rsid w:val="003072F6"/>
    <w:rsid w:val="00307720"/>
    <w:rsid w:val="00311A45"/>
    <w:rsid w:val="00311B46"/>
    <w:rsid w:val="0031209C"/>
    <w:rsid w:val="003120AC"/>
    <w:rsid w:val="00312FD3"/>
    <w:rsid w:val="0031455B"/>
    <w:rsid w:val="0032083C"/>
    <w:rsid w:val="00321BD0"/>
    <w:rsid w:val="00322AFE"/>
    <w:rsid w:val="00322D56"/>
    <w:rsid w:val="003231A6"/>
    <w:rsid w:val="003239E1"/>
    <w:rsid w:val="003241ED"/>
    <w:rsid w:val="00324C90"/>
    <w:rsid w:val="00326BA0"/>
    <w:rsid w:val="00330974"/>
    <w:rsid w:val="00331593"/>
    <w:rsid w:val="0033259A"/>
    <w:rsid w:val="00333A16"/>
    <w:rsid w:val="0034023B"/>
    <w:rsid w:val="003422B0"/>
    <w:rsid w:val="00342F08"/>
    <w:rsid w:val="00345332"/>
    <w:rsid w:val="00345ABF"/>
    <w:rsid w:val="00346DD8"/>
    <w:rsid w:val="00347750"/>
    <w:rsid w:val="00354271"/>
    <w:rsid w:val="003548FD"/>
    <w:rsid w:val="003556AE"/>
    <w:rsid w:val="00356154"/>
    <w:rsid w:val="00363C82"/>
    <w:rsid w:val="00363EA1"/>
    <w:rsid w:val="003660BF"/>
    <w:rsid w:val="00366E12"/>
    <w:rsid w:val="00367267"/>
    <w:rsid w:val="00376F02"/>
    <w:rsid w:val="00381EDC"/>
    <w:rsid w:val="0038214C"/>
    <w:rsid w:val="00386E09"/>
    <w:rsid w:val="00390A3D"/>
    <w:rsid w:val="003915C3"/>
    <w:rsid w:val="0039195B"/>
    <w:rsid w:val="003927EE"/>
    <w:rsid w:val="0039296C"/>
    <w:rsid w:val="00392EA4"/>
    <w:rsid w:val="00394396"/>
    <w:rsid w:val="00395E80"/>
    <w:rsid w:val="00396756"/>
    <w:rsid w:val="00397D5A"/>
    <w:rsid w:val="00397DA7"/>
    <w:rsid w:val="003A3480"/>
    <w:rsid w:val="003A4CC6"/>
    <w:rsid w:val="003A5225"/>
    <w:rsid w:val="003A5722"/>
    <w:rsid w:val="003A59E0"/>
    <w:rsid w:val="003A6CEC"/>
    <w:rsid w:val="003A6E82"/>
    <w:rsid w:val="003B0CDB"/>
    <w:rsid w:val="003B35AF"/>
    <w:rsid w:val="003B3ECE"/>
    <w:rsid w:val="003B54F4"/>
    <w:rsid w:val="003B7061"/>
    <w:rsid w:val="003B79F4"/>
    <w:rsid w:val="003C02B8"/>
    <w:rsid w:val="003C4848"/>
    <w:rsid w:val="003C578E"/>
    <w:rsid w:val="003C62B9"/>
    <w:rsid w:val="003C7F9F"/>
    <w:rsid w:val="003D0490"/>
    <w:rsid w:val="003D1217"/>
    <w:rsid w:val="003D1288"/>
    <w:rsid w:val="003D2DD9"/>
    <w:rsid w:val="003D4162"/>
    <w:rsid w:val="003D6348"/>
    <w:rsid w:val="003D6353"/>
    <w:rsid w:val="003D65A1"/>
    <w:rsid w:val="003D7540"/>
    <w:rsid w:val="003D7D49"/>
    <w:rsid w:val="003E19A1"/>
    <w:rsid w:val="003E5D2F"/>
    <w:rsid w:val="003E6B8B"/>
    <w:rsid w:val="003E74FD"/>
    <w:rsid w:val="003E7DE0"/>
    <w:rsid w:val="003F1089"/>
    <w:rsid w:val="003F3562"/>
    <w:rsid w:val="003F40B1"/>
    <w:rsid w:val="003F5866"/>
    <w:rsid w:val="003F5AD1"/>
    <w:rsid w:val="003F5FB0"/>
    <w:rsid w:val="003F6496"/>
    <w:rsid w:val="003F6682"/>
    <w:rsid w:val="003F6830"/>
    <w:rsid w:val="003F77DF"/>
    <w:rsid w:val="003F7828"/>
    <w:rsid w:val="003F7DCF"/>
    <w:rsid w:val="004005F6"/>
    <w:rsid w:val="00400FEB"/>
    <w:rsid w:val="00401169"/>
    <w:rsid w:val="004013F7"/>
    <w:rsid w:val="00405809"/>
    <w:rsid w:val="00411564"/>
    <w:rsid w:val="00414489"/>
    <w:rsid w:val="00415CA8"/>
    <w:rsid w:val="00416E58"/>
    <w:rsid w:val="004246CE"/>
    <w:rsid w:val="00426F3A"/>
    <w:rsid w:val="00427764"/>
    <w:rsid w:val="004309E0"/>
    <w:rsid w:val="00432148"/>
    <w:rsid w:val="004325F8"/>
    <w:rsid w:val="004338EF"/>
    <w:rsid w:val="004347EA"/>
    <w:rsid w:val="004364E3"/>
    <w:rsid w:val="00437328"/>
    <w:rsid w:val="00440915"/>
    <w:rsid w:val="00441AD9"/>
    <w:rsid w:val="004437FC"/>
    <w:rsid w:val="00444864"/>
    <w:rsid w:val="00445C97"/>
    <w:rsid w:val="00445D87"/>
    <w:rsid w:val="004463D9"/>
    <w:rsid w:val="0044770C"/>
    <w:rsid w:val="00452100"/>
    <w:rsid w:val="0045404C"/>
    <w:rsid w:val="00455B9D"/>
    <w:rsid w:val="004573BD"/>
    <w:rsid w:val="00457DCC"/>
    <w:rsid w:val="00462331"/>
    <w:rsid w:val="004636E7"/>
    <w:rsid w:val="00467AEC"/>
    <w:rsid w:val="00472567"/>
    <w:rsid w:val="004727FF"/>
    <w:rsid w:val="00474078"/>
    <w:rsid w:val="0047473D"/>
    <w:rsid w:val="004869AD"/>
    <w:rsid w:val="00486F6D"/>
    <w:rsid w:val="00487B93"/>
    <w:rsid w:val="00491511"/>
    <w:rsid w:val="004917EF"/>
    <w:rsid w:val="004953EA"/>
    <w:rsid w:val="004958D8"/>
    <w:rsid w:val="0049603C"/>
    <w:rsid w:val="004975FD"/>
    <w:rsid w:val="004A09A1"/>
    <w:rsid w:val="004A2582"/>
    <w:rsid w:val="004A31F3"/>
    <w:rsid w:val="004A33A2"/>
    <w:rsid w:val="004A4547"/>
    <w:rsid w:val="004A5506"/>
    <w:rsid w:val="004A6560"/>
    <w:rsid w:val="004B173E"/>
    <w:rsid w:val="004B2FF3"/>
    <w:rsid w:val="004B6AC8"/>
    <w:rsid w:val="004C4223"/>
    <w:rsid w:val="004C4E6C"/>
    <w:rsid w:val="004C710D"/>
    <w:rsid w:val="004C7CA3"/>
    <w:rsid w:val="004D01DC"/>
    <w:rsid w:val="004D222C"/>
    <w:rsid w:val="004E2925"/>
    <w:rsid w:val="004E2B06"/>
    <w:rsid w:val="004E2F8D"/>
    <w:rsid w:val="004E2F98"/>
    <w:rsid w:val="004E5182"/>
    <w:rsid w:val="004E5FAD"/>
    <w:rsid w:val="004E6475"/>
    <w:rsid w:val="004E6911"/>
    <w:rsid w:val="004E6D98"/>
    <w:rsid w:val="004E7888"/>
    <w:rsid w:val="004E79B9"/>
    <w:rsid w:val="004F0A61"/>
    <w:rsid w:val="004F0D58"/>
    <w:rsid w:val="004F34B9"/>
    <w:rsid w:val="004F3CF6"/>
    <w:rsid w:val="004F4584"/>
    <w:rsid w:val="004F5311"/>
    <w:rsid w:val="004F5B75"/>
    <w:rsid w:val="004F5D5E"/>
    <w:rsid w:val="004F7B28"/>
    <w:rsid w:val="00503386"/>
    <w:rsid w:val="00504C5E"/>
    <w:rsid w:val="0050605B"/>
    <w:rsid w:val="00506E8B"/>
    <w:rsid w:val="0050715F"/>
    <w:rsid w:val="00510362"/>
    <w:rsid w:val="005123A9"/>
    <w:rsid w:val="0051435E"/>
    <w:rsid w:val="00515698"/>
    <w:rsid w:val="0051578D"/>
    <w:rsid w:val="005168C6"/>
    <w:rsid w:val="005233BA"/>
    <w:rsid w:val="005262C3"/>
    <w:rsid w:val="00526933"/>
    <w:rsid w:val="0053023E"/>
    <w:rsid w:val="00531639"/>
    <w:rsid w:val="005317A1"/>
    <w:rsid w:val="0053405A"/>
    <w:rsid w:val="00535322"/>
    <w:rsid w:val="00537641"/>
    <w:rsid w:val="005378B3"/>
    <w:rsid w:val="00537FDE"/>
    <w:rsid w:val="005415EB"/>
    <w:rsid w:val="00542392"/>
    <w:rsid w:val="00547020"/>
    <w:rsid w:val="00547CE3"/>
    <w:rsid w:val="00552A8D"/>
    <w:rsid w:val="00554C0E"/>
    <w:rsid w:val="00554CAA"/>
    <w:rsid w:val="005552D4"/>
    <w:rsid w:val="005574F8"/>
    <w:rsid w:val="00557BCD"/>
    <w:rsid w:val="00557BEF"/>
    <w:rsid w:val="00562C5E"/>
    <w:rsid w:val="00563A0C"/>
    <w:rsid w:val="00566A01"/>
    <w:rsid w:val="005670BA"/>
    <w:rsid w:val="00567BAB"/>
    <w:rsid w:val="00567EAB"/>
    <w:rsid w:val="00573693"/>
    <w:rsid w:val="00574E7C"/>
    <w:rsid w:val="00582D2A"/>
    <w:rsid w:val="005855E3"/>
    <w:rsid w:val="005901F3"/>
    <w:rsid w:val="0059207A"/>
    <w:rsid w:val="00592272"/>
    <w:rsid w:val="00592E80"/>
    <w:rsid w:val="005941FF"/>
    <w:rsid w:val="00595A54"/>
    <w:rsid w:val="005A04A8"/>
    <w:rsid w:val="005A071B"/>
    <w:rsid w:val="005A324F"/>
    <w:rsid w:val="005A3DD7"/>
    <w:rsid w:val="005A42EA"/>
    <w:rsid w:val="005A43FE"/>
    <w:rsid w:val="005A473B"/>
    <w:rsid w:val="005A4D99"/>
    <w:rsid w:val="005A6FFD"/>
    <w:rsid w:val="005B2540"/>
    <w:rsid w:val="005B3159"/>
    <w:rsid w:val="005B3668"/>
    <w:rsid w:val="005B76E4"/>
    <w:rsid w:val="005C2F24"/>
    <w:rsid w:val="005C5447"/>
    <w:rsid w:val="005D0D0A"/>
    <w:rsid w:val="005D4B92"/>
    <w:rsid w:val="005D528D"/>
    <w:rsid w:val="005D6E3E"/>
    <w:rsid w:val="005D7905"/>
    <w:rsid w:val="005E0246"/>
    <w:rsid w:val="005E2405"/>
    <w:rsid w:val="005E6361"/>
    <w:rsid w:val="005E6668"/>
    <w:rsid w:val="005E74A7"/>
    <w:rsid w:val="005F0E94"/>
    <w:rsid w:val="005F192B"/>
    <w:rsid w:val="005F20F6"/>
    <w:rsid w:val="005F29A4"/>
    <w:rsid w:val="005F5C08"/>
    <w:rsid w:val="00600C6C"/>
    <w:rsid w:val="00602895"/>
    <w:rsid w:val="00602CA3"/>
    <w:rsid w:val="00602FEA"/>
    <w:rsid w:val="00603DAA"/>
    <w:rsid w:val="006055E3"/>
    <w:rsid w:val="006107BC"/>
    <w:rsid w:val="006113B6"/>
    <w:rsid w:val="00612AC2"/>
    <w:rsid w:val="00613079"/>
    <w:rsid w:val="00614121"/>
    <w:rsid w:val="006149E1"/>
    <w:rsid w:val="00615810"/>
    <w:rsid w:val="00615DE1"/>
    <w:rsid w:val="006238CF"/>
    <w:rsid w:val="00624A79"/>
    <w:rsid w:val="00626095"/>
    <w:rsid w:val="00626C67"/>
    <w:rsid w:val="00627BE0"/>
    <w:rsid w:val="00627DDE"/>
    <w:rsid w:val="006339DC"/>
    <w:rsid w:val="0063693E"/>
    <w:rsid w:val="00637651"/>
    <w:rsid w:val="00640206"/>
    <w:rsid w:val="00641603"/>
    <w:rsid w:val="006425CA"/>
    <w:rsid w:val="00642BE6"/>
    <w:rsid w:val="00645EEE"/>
    <w:rsid w:val="00647537"/>
    <w:rsid w:val="00650E7B"/>
    <w:rsid w:val="006518A6"/>
    <w:rsid w:val="00651E8F"/>
    <w:rsid w:val="0065250C"/>
    <w:rsid w:val="0065511B"/>
    <w:rsid w:val="00657AEC"/>
    <w:rsid w:val="006622BC"/>
    <w:rsid w:val="00662A8E"/>
    <w:rsid w:val="00663730"/>
    <w:rsid w:val="0066373F"/>
    <w:rsid w:val="00663CEB"/>
    <w:rsid w:val="006739F3"/>
    <w:rsid w:val="00673C6C"/>
    <w:rsid w:val="00676F20"/>
    <w:rsid w:val="00680DC7"/>
    <w:rsid w:val="006812EB"/>
    <w:rsid w:val="006819EC"/>
    <w:rsid w:val="00683049"/>
    <w:rsid w:val="00683F04"/>
    <w:rsid w:val="00683F6D"/>
    <w:rsid w:val="006860FE"/>
    <w:rsid w:val="00691106"/>
    <w:rsid w:val="006952E1"/>
    <w:rsid w:val="006952EC"/>
    <w:rsid w:val="006A5031"/>
    <w:rsid w:val="006A5912"/>
    <w:rsid w:val="006A5D44"/>
    <w:rsid w:val="006A6AB6"/>
    <w:rsid w:val="006A7DE9"/>
    <w:rsid w:val="006B0ED3"/>
    <w:rsid w:val="006B1F35"/>
    <w:rsid w:val="006B2454"/>
    <w:rsid w:val="006B2B5B"/>
    <w:rsid w:val="006B3AB9"/>
    <w:rsid w:val="006B3D57"/>
    <w:rsid w:val="006B586F"/>
    <w:rsid w:val="006B68FE"/>
    <w:rsid w:val="006B7722"/>
    <w:rsid w:val="006C1016"/>
    <w:rsid w:val="006C18F6"/>
    <w:rsid w:val="006C2665"/>
    <w:rsid w:val="006C4774"/>
    <w:rsid w:val="006D0236"/>
    <w:rsid w:val="006D05C1"/>
    <w:rsid w:val="006D40B5"/>
    <w:rsid w:val="006D5D48"/>
    <w:rsid w:val="006D6D7B"/>
    <w:rsid w:val="006D732D"/>
    <w:rsid w:val="006E0908"/>
    <w:rsid w:val="006E0E98"/>
    <w:rsid w:val="006E25CF"/>
    <w:rsid w:val="006E4A1E"/>
    <w:rsid w:val="006E6BB0"/>
    <w:rsid w:val="006E75AE"/>
    <w:rsid w:val="006F47CF"/>
    <w:rsid w:val="006F4812"/>
    <w:rsid w:val="006F62E8"/>
    <w:rsid w:val="006F7B1C"/>
    <w:rsid w:val="007017EE"/>
    <w:rsid w:val="0070212E"/>
    <w:rsid w:val="007021E0"/>
    <w:rsid w:val="00703506"/>
    <w:rsid w:val="00703744"/>
    <w:rsid w:val="0070474A"/>
    <w:rsid w:val="00704C32"/>
    <w:rsid w:val="0071078F"/>
    <w:rsid w:val="0071268A"/>
    <w:rsid w:val="007133EE"/>
    <w:rsid w:val="007146C5"/>
    <w:rsid w:val="00714B0E"/>
    <w:rsid w:val="007200DE"/>
    <w:rsid w:val="0072114E"/>
    <w:rsid w:val="007235D9"/>
    <w:rsid w:val="00724D2E"/>
    <w:rsid w:val="007265A7"/>
    <w:rsid w:val="00727463"/>
    <w:rsid w:val="00730C77"/>
    <w:rsid w:val="007339BE"/>
    <w:rsid w:val="00734677"/>
    <w:rsid w:val="00737DB1"/>
    <w:rsid w:val="00740186"/>
    <w:rsid w:val="0074092B"/>
    <w:rsid w:val="007417E6"/>
    <w:rsid w:val="00742387"/>
    <w:rsid w:val="00742CCC"/>
    <w:rsid w:val="00747823"/>
    <w:rsid w:val="00751156"/>
    <w:rsid w:val="00751554"/>
    <w:rsid w:val="00751AE2"/>
    <w:rsid w:val="007529B0"/>
    <w:rsid w:val="0075373F"/>
    <w:rsid w:val="00753BDC"/>
    <w:rsid w:val="00754212"/>
    <w:rsid w:val="0076080E"/>
    <w:rsid w:val="007614A1"/>
    <w:rsid w:val="00763BA8"/>
    <w:rsid w:val="00763F71"/>
    <w:rsid w:val="00773C2F"/>
    <w:rsid w:val="00774DA6"/>
    <w:rsid w:val="007760B1"/>
    <w:rsid w:val="007772B7"/>
    <w:rsid w:val="00783819"/>
    <w:rsid w:val="007841D0"/>
    <w:rsid w:val="00791690"/>
    <w:rsid w:val="007948E6"/>
    <w:rsid w:val="007962EC"/>
    <w:rsid w:val="007A16BF"/>
    <w:rsid w:val="007A1C8A"/>
    <w:rsid w:val="007A26FF"/>
    <w:rsid w:val="007A54BC"/>
    <w:rsid w:val="007B220C"/>
    <w:rsid w:val="007B2AB3"/>
    <w:rsid w:val="007B54BF"/>
    <w:rsid w:val="007B5969"/>
    <w:rsid w:val="007B7086"/>
    <w:rsid w:val="007B7CB8"/>
    <w:rsid w:val="007C1B8E"/>
    <w:rsid w:val="007C2064"/>
    <w:rsid w:val="007C2DBF"/>
    <w:rsid w:val="007D22DD"/>
    <w:rsid w:val="007D2A1E"/>
    <w:rsid w:val="007D41E5"/>
    <w:rsid w:val="007E0C36"/>
    <w:rsid w:val="007E34FF"/>
    <w:rsid w:val="007E3A55"/>
    <w:rsid w:val="007E584D"/>
    <w:rsid w:val="007E6E57"/>
    <w:rsid w:val="007E6FDF"/>
    <w:rsid w:val="007F0D4E"/>
    <w:rsid w:val="007F2678"/>
    <w:rsid w:val="007F2760"/>
    <w:rsid w:val="007F2D57"/>
    <w:rsid w:val="007F4273"/>
    <w:rsid w:val="007F4DF6"/>
    <w:rsid w:val="00801024"/>
    <w:rsid w:val="00802763"/>
    <w:rsid w:val="00803313"/>
    <w:rsid w:val="00805543"/>
    <w:rsid w:val="008065C1"/>
    <w:rsid w:val="00806CB9"/>
    <w:rsid w:val="0081062D"/>
    <w:rsid w:val="00810932"/>
    <w:rsid w:val="00811971"/>
    <w:rsid w:val="00813032"/>
    <w:rsid w:val="0081331F"/>
    <w:rsid w:val="008135F2"/>
    <w:rsid w:val="00813A10"/>
    <w:rsid w:val="0081491B"/>
    <w:rsid w:val="00814C42"/>
    <w:rsid w:val="00815894"/>
    <w:rsid w:val="00822295"/>
    <w:rsid w:val="008225EC"/>
    <w:rsid w:val="00823BD8"/>
    <w:rsid w:val="00824F3B"/>
    <w:rsid w:val="00825000"/>
    <w:rsid w:val="00830D1A"/>
    <w:rsid w:val="00830EDA"/>
    <w:rsid w:val="008318D5"/>
    <w:rsid w:val="008323C2"/>
    <w:rsid w:val="008345F7"/>
    <w:rsid w:val="00837F41"/>
    <w:rsid w:val="008401C5"/>
    <w:rsid w:val="00845837"/>
    <w:rsid w:val="008503A0"/>
    <w:rsid w:val="008539D8"/>
    <w:rsid w:val="00855232"/>
    <w:rsid w:val="008564CC"/>
    <w:rsid w:val="008569C5"/>
    <w:rsid w:val="0085795B"/>
    <w:rsid w:val="008614DB"/>
    <w:rsid w:val="00864240"/>
    <w:rsid w:val="00865890"/>
    <w:rsid w:val="008669B0"/>
    <w:rsid w:val="00867959"/>
    <w:rsid w:val="0087349B"/>
    <w:rsid w:val="00873CB1"/>
    <w:rsid w:val="0087409F"/>
    <w:rsid w:val="008746EF"/>
    <w:rsid w:val="00875BF2"/>
    <w:rsid w:val="00881E37"/>
    <w:rsid w:val="008834AD"/>
    <w:rsid w:val="008836FB"/>
    <w:rsid w:val="00883D28"/>
    <w:rsid w:val="00891FCD"/>
    <w:rsid w:val="00893123"/>
    <w:rsid w:val="008A203B"/>
    <w:rsid w:val="008A2ACB"/>
    <w:rsid w:val="008A488B"/>
    <w:rsid w:val="008B3CB7"/>
    <w:rsid w:val="008B55A1"/>
    <w:rsid w:val="008B61BA"/>
    <w:rsid w:val="008B62C7"/>
    <w:rsid w:val="008B6DFA"/>
    <w:rsid w:val="008B6EB8"/>
    <w:rsid w:val="008C156C"/>
    <w:rsid w:val="008C188D"/>
    <w:rsid w:val="008C3488"/>
    <w:rsid w:val="008C3FFB"/>
    <w:rsid w:val="008C484C"/>
    <w:rsid w:val="008C7145"/>
    <w:rsid w:val="008C7F94"/>
    <w:rsid w:val="008D17AB"/>
    <w:rsid w:val="008D1EEA"/>
    <w:rsid w:val="008D27BD"/>
    <w:rsid w:val="008D2D25"/>
    <w:rsid w:val="008D31F7"/>
    <w:rsid w:val="008D3779"/>
    <w:rsid w:val="008D4502"/>
    <w:rsid w:val="008D5F71"/>
    <w:rsid w:val="008D61EF"/>
    <w:rsid w:val="008D707F"/>
    <w:rsid w:val="008E03CF"/>
    <w:rsid w:val="008E2A62"/>
    <w:rsid w:val="008E4564"/>
    <w:rsid w:val="008E4ABE"/>
    <w:rsid w:val="008E5678"/>
    <w:rsid w:val="008E66C6"/>
    <w:rsid w:val="008F0412"/>
    <w:rsid w:val="008F3552"/>
    <w:rsid w:val="008F4536"/>
    <w:rsid w:val="008F5757"/>
    <w:rsid w:val="008F76D3"/>
    <w:rsid w:val="00900CBC"/>
    <w:rsid w:val="00901708"/>
    <w:rsid w:val="00901E35"/>
    <w:rsid w:val="00902CA2"/>
    <w:rsid w:val="00904696"/>
    <w:rsid w:val="00905DF2"/>
    <w:rsid w:val="00906819"/>
    <w:rsid w:val="00906A92"/>
    <w:rsid w:val="00906C32"/>
    <w:rsid w:val="00910CB5"/>
    <w:rsid w:val="009125F3"/>
    <w:rsid w:val="0091364C"/>
    <w:rsid w:val="009177D2"/>
    <w:rsid w:val="0092111A"/>
    <w:rsid w:val="00921AD0"/>
    <w:rsid w:val="00922F42"/>
    <w:rsid w:val="0092390D"/>
    <w:rsid w:val="00923E56"/>
    <w:rsid w:val="00923FA8"/>
    <w:rsid w:val="00925D1E"/>
    <w:rsid w:val="00926D30"/>
    <w:rsid w:val="00930847"/>
    <w:rsid w:val="00933661"/>
    <w:rsid w:val="00934904"/>
    <w:rsid w:val="0094082C"/>
    <w:rsid w:val="00943652"/>
    <w:rsid w:val="009444C9"/>
    <w:rsid w:val="00945658"/>
    <w:rsid w:val="00945CFA"/>
    <w:rsid w:val="00954741"/>
    <w:rsid w:val="009600C9"/>
    <w:rsid w:val="0096184E"/>
    <w:rsid w:val="009623A1"/>
    <w:rsid w:val="0096403B"/>
    <w:rsid w:val="009646C2"/>
    <w:rsid w:val="009649D7"/>
    <w:rsid w:val="00967B14"/>
    <w:rsid w:val="00973411"/>
    <w:rsid w:val="00976CD9"/>
    <w:rsid w:val="0098102F"/>
    <w:rsid w:val="009813FA"/>
    <w:rsid w:val="00981670"/>
    <w:rsid w:val="009821EF"/>
    <w:rsid w:val="00985090"/>
    <w:rsid w:val="009944C0"/>
    <w:rsid w:val="00994A48"/>
    <w:rsid w:val="0099522F"/>
    <w:rsid w:val="00995DE7"/>
    <w:rsid w:val="00996C9D"/>
    <w:rsid w:val="0099718B"/>
    <w:rsid w:val="00997574"/>
    <w:rsid w:val="009A359A"/>
    <w:rsid w:val="009A3F31"/>
    <w:rsid w:val="009A4C41"/>
    <w:rsid w:val="009B04AD"/>
    <w:rsid w:val="009B07AB"/>
    <w:rsid w:val="009C0049"/>
    <w:rsid w:val="009C0C02"/>
    <w:rsid w:val="009C0D77"/>
    <w:rsid w:val="009C12C7"/>
    <w:rsid w:val="009C17DC"/>
    <w:rsid w:val="009C1F39"/>
    <w:rsid w:val="009C37E1"/>
    <w:rsid w:val="009C3A01"/>
    <w:rsid w:val="009C467B"/>
    <w:rsid w:val="009D05C1"/>
    <w:rsid w:val="009D20EC"/>
    <w:rsid w:val="009D3E0B"/>
    <w:rsid w:val="009D4BEE"/>
    <w:rsid w:val="009D6120"/>
    <w:rsid w:val="009D7B57"/>
    <w:rsid w:val="009E2214"/>
    <w:rsid w:val="009E2CE0"/>
    <w:rsid w:val="009E4C20"/>
    <w:rsid w:val="009E714C"/>
    <w:rsid w:val="009F19BE"/>
    <w:rsid w:val="009F2456"/>
    <w:rsid w:val="009F27AD"/>
    <w:rsid w:val="009F3BB5"/>
    <w:rsid w:val="009F49F2"/>
    <w:rsid w:val="009F69A0"/>
    <w:rsid w:val="009F6B98"/>
    <w:rsid w:val="00A00980"/>
    <w:rsid w:val="00A01833"/>
    <w:rsid w:val="00A0234D"/>
    <w:rsid w:val="00A02966"/>
    <w:rsid w:val="00A03238"/>
    <w:rsid w:val="00A055F8"/>
    <w:rsid w:val="00A112FF"/>
    <w:rsid w:val="00A11E58"/>
    <w:rsid w:val="00A12153"/>
    <w:rsid w:val="00A12A6B"/>
    <w:rsid w:val="00A139D2"/>
    <w:rsid w:val="00A1446B"/>
    <w:rsid w:val="00A15991"/>
    <w:rsid w:val="00A15A23"/>
    <w:rsid w:val="00A16C64"/>
    <w:rsid w:val="00A2180F"/>
    <w:rsid w:val="00A22494"/>
    <w:rsid w:val="00A240B0"/>
    <w:rsid w:val="00A258BE"/>
    <w:rsid w:val="00A26656"/>
    <w:rsid w:val="00A27635"/>
    <w:rsid w:val="00A27E3E"/>
    <w:rsid w:val="00A33D0C"/>
    <w:rsid w:val="00A34310"/>
    <w:rsid w:val="00A3544B"/>
    <w:rsid w:val="00A36399"/>
    <w:rsid w:val="00A3709F"/>
    <w:rsid w:val="00A406F6"/>
    <w:rsid w:val="00A4287A"/>
    <w:rsid w:val="00A42F31"/>
    <w:rsid w:val="00A51423"/>
    <w:rsid w:val="00A51A6F"/>
    <w:rsid w:val="00A51D1D"/>
    <w:rsid w:val="00A52CFD"/>
    <w:rsid w:val="00A53F9C"/>
    <w:rsid w:val="00A55247"/>
    <w:rsid w:val="00A5557D"/>
    <w:rsid w:val="00A57939"/>
    <w:rsid w:val="00A57A4D"/>
    <w:rsid w:val="00A60BFD"/>
    <w:rsid w:val="00A7088B"/>
    <w:rsid w:val="00A70BA1"/>
    <w:rsid w:val="00A7176B"/>
    <w:rsid w:val="00A73651"/>
    <w:rsid w:val="00A74989"/>
    <w:rsid w:val="00A74E85"/>
    <w:rsid w:val="00A74F42"/>
    <w:rsid w:val="00A858C5"/>
    <w:rsid w:val="00A90273"/>
    <w:rsid w:val="00A91429"/>
    <w:rsid w:val="00A91664"/>
    <w:rsid w:val="00A929B1"/>
    <w:rsid w:val="00A92B47"/>
    <w:rsid w:val="00A93C23"/>
    <w:rsid w:val="00A9494A"/>
    <w:rsid w:val="00A97A08"/>
    <w:rsid w:val="00AA0C8E"/>
    <w:rsid w:val="00AA361B"/>
    <w:rsid w:val="00AA43DA"/>
    <w:rsid w:val="00AA5450"/>
    <w:rsid w:val="00AA61C7"/>
    <w:rsid w:val="00AA6546"/>
    <w:rsid w:val="00AB00F6"/>
    <w:rsid w:val="00AB3675"/>
    <w:rsid w:val="00AB611F"/>
    <w:rsid w:val="00AB615F"/>
    <w:rsid w:val="00AB6E47"/>
    <w:rsid w:val="00AC06CB"/>
    <w:rsid w:val="00AC0B5E"/>
    <w:rsid w:val="00AC1C84"/>
    <w:rsid w:val="00AC355C"/>
    <w:rsid w:val="00AC4422"/>
    <w:rsid w:val="00AD0600"/>
    <w:rsid w:val="00AD2C4F"/>
    <w:rsid w:val="00AD39AE"/>
    <w:rsid w:val="00AD3D85"/>
    <w:rsid w:val="00AD40EC"/>
    <w:rsid w:val="00AD4593"/>
    <w:rsid w:val="00AD5A2F"/>
    <w:rsid w:val="00AD65D3"/>
    <w:rsid w:val="00AD67C3"/>
    <w:rsid w:val="00AE1529"/>
    <w:rsid w:val="00AE4230"/>
    <w:rsid w:val="00AE615C"/>
    <w:rsid w:val="00AE7A10"/>
    <w:rsid w:val="00AF0929"/>
    <w:rsid w:val="00AF1DC4"/>
    <w:rsid w:val="00AF3678"/>
    <w:rsid w:val="00AF37D3"/>
    <w:rsid w:val="00AF5656"/>
    <w:rsid w:val="00AF5767"/>
    <w:rsid w:val="00B008C8"/>
    <w:rsid w:val="00B03E62"/>
    <w:rsid w:val="00B042EA"/>
    <w:rsid w:val="00B07D6D"/>
    <w:rsid w:val="00B1063B"/>
    <w:rsid w:val="00B10657"/>
    <w:rsid w:val="00B14540"/>
    <w:rsid w:val="00B15CD2"/>
    <w:rsid w:val="00B161DF"/>
    <w:rsid w:val="00B20C4A"/>
    <w:rsid w:val="00B223BB"/>
    <w:rsid w:val="00B223FD"/>
    <w:rsid w:val="00B2354F"/>
    <w:rsid w:val="00B259F8"/>
    <w:rsid w:val="00B260F7"/>
    <w:rsid w:val="00B26EF8"/>
    <w:rsid w:val="00B27917"/>
    <w:rsid w:val="00B30771"/>
    <w:rsid w:val="00B30E5E"/>
    <w:rsid w:val="00B32C3B"/>
    <w:rsid w:val="00B353F4"/>
    <w:rsid w:val="00B35499"/>
    <w:rsid w:val="00B4596D"/>
    <w:rsid w:val="00B462B7"/>
    <w:rsid w:val="00B464CF"/>
    <w:rsid w:val="00B464F2"/>
    <w:rsid w:val="00B53AD8"/>
    <w:rsid w:val="00B56FAA"/>
    <w:rsid w:val="00B627F0"/>
    <w:rsid w:val="00B628E1"/>
    <w:rsid w:val="00B65C6D"/>
    <w:rsid w:val="00B669C2"/>
    <w:rsid w:val="00B71F1A"/>
    <w:rsid w:val="00B75124"/>
    <w:rsid w:val="00B7796B"/>
    <w:rsid w:val="00B86473"/>
    <w:rsid w:val="00B86F39"/>
    <w:rsid w:val="00B95EB2"/>
    <w:rsid w:val="00B966C5"/>
    <w:rsid w:val="00B97228"/>
    <w:rsid w:val="00BA0BD1"/>
    <w:rsid w:val="00BA35C1"/>
    <w:rsid w:val="00BA4889"/>
    <w:rsid w:val="00BB0834"/>
    <w:rsid w:val="00BB0A5D"/>
    <w:rsid w:val="00BB0CD5"/>
    <w:rsid w:val="00BB1B9C"/>
    <w:rsid w:val="00BB43EF"/>
    <w:rsid w:val="00BB4533"/>
    <w:rsid w:val="00BB5A8E"/>
    <w:rsid w:val="00BB61E8"/>
    <w:rsid w:val="00BC2C03"/>
    <w:rsid w:val="00BC3829"/>
    <w:rsid w:val="00BC3F3D"/>
    <w:rsid w:val="00BC4740"/>
    <w:rsid w:val="00BD3591"/>
    <w:rsid w:val="00BD5C29"/>
    <w:rsid w:val="00BD7735"/>
    <w:rsid w:val="00BE0833"/>
    <w:rsid w:val="00BE3AA1"/>
    <w:rsid w:val="00BE4E50"/>
    <w:rsid w:val="00BE5032"/>
    <w:rsid w:val="00BE5E03"/>
    <w:rsid w:val="00BE7BAE"/>
    <w:rsid w:val="00BE7F0E"/>
    <w:rsid w:val="00BF1D26"/>
    <w:rsid w:val="00BF618E"/>
    <w:rsid w:val="00C006E5"/>
    <w:rsid w:val="00C00D67"/>
    <w:rsid w:val="00C01963"/>
    <w:rsid w:val="00C0399E"/>
    <w:rsid w:val="00C0485A"/>
    <w:rsid w:val="00C0579A"/>
    <w:rsid w:val="00C0675D"/>
    <w:rsid w:val="00C0774C"/>
    <w:rsid w:val="00C07C51"/>
    <w:rsid w:val="00C11ADD"/>
    <w:rsid w:val="00C11C96"/>
    <w:rsid w:val="00C176A6"/>
    <w:rsid w:val="00C210E7"/>
    <w:rsid w:val="00C23215"/>
    <w:rsid w:val="00C2352F"/>
    <w:rsid w:val="00C25465"/>
    <w:rsid w:val="00C25E09"/>
    <w:rsid w:val="00C269BA"/>
    <w:rsid w:val="00C340FB"/>
    <w:rsid w:val="00C34996"/>
    <w:rsid w:val="00C34C84"/>
    <w:rsid w:val="00C40150"/>
    <w:rsid w:val="00C40A21"/>
    <w:rsid w:val="00C41A30"/>
    <w:rsid w:val="00C450FF"/>
    <w:rsid w:val="00C4567E"/>
    <w:rsid w:val="00C46322"/>
    <w:rsid w:val="00C46E6F"/>
    <w:rsid w:val="00C50ABF"/>
    <w:rsid w:val="00C5126E"/>
    <w:rsid w:val="00C543B5"/>
    <w:rsid w:val="00C543D1"/>
    <w:rsid w:val="00C609B8"/>
    <w:rsid w:val="00C6124D"/>
    <w:rsid w:val="00C667CA"/>
    <w:rsid w:val="00C66C91"/>
    <w:rsid w:val="00C67FA2"/>
    <w:rsid w:val="00C70CFA"/>
    <w:rsid w:val="00C728BF"/>
    <w:rsid w:val="00C735CA"/>
    <w:rsid w:val="00C7425F"/>
    <w:rsid w:val="00C74261"/>
    <w:rsid w:val="00C748FE"/>
    <w:rsid w:val="00C76C72"/>
    <w:rsid w:val="00C7729D"/>
    <w:rsid w:val="00C7764A"/>
    <w:rsid w:val="00C8570B"/>
    <w:rsid w:val="00C85E1D"/>
    <w:rsid w:val="00C86567"/>
    <w:rsid w:val="00C874FD"/>
    <w:rsid w:val="00C87A63"/>
    <w:rsid w:val="00C92AE2"/>
    <w:rsid w:val="00C94637"/>
    <w:rsid w:val="00C95515"/>
    <w:rsid w:val="00C95D6A"/>
    <w:rsid w:val="00C97CDD"/>
    <w:rsid w:val="00CA597E"/>
    <w:rsid w:val="00CB0479"/>
    <w:rsid w:val="00CB21C0"/>
    <w:rsid w:val="00CB3E77"/>
    <w:rsid w:val="00CB56D1"/>
    <w:rsid w:val="00CB71F9"/>
    <w:rsid w:val="00CB7746"/>
    <w:rsid w:val="00CC55A1"/>
    <w:rsid w:val="00CC59E0"/>
    <w:rsid w:val="00CC5A21"/>
    <w:rsid w:val="00CC5FAA"/>
    <w:rsid w:val="00CD1CA7"/>
    <w:rsid w:val="00CD20F8"/>
    <w:rsid w:val="00CE0394"/>
    <w:rsid w:val="00CE549E"/>
    <w:rsid w:val="00CE5C78"/>
    <w:rsid w:val="00CE5E40"/>
    <w:rsid w:val="00CE74A4"/>
    <w:rsid w:val="00CF1B0A"/>
    <w:rsid w:val="00CF2161"/>
    <w:rsid w:val="00CF5B93"/>
    <w:rsid w:val="00CF67C5"/>
    <w:rsid w:val="00D00969"/>
    <w:rsid w:val="00D00F2E"/>
    <w:rsid w:val="00D021C4"/>
    <w:rsid w:val="00D02BEE"/>
    <w:rsid w:val="00D02C2A"/>
    <w:rsid w:val="00D03A8F"/>
    <w:rsid w:val="00D049AE"/>
    <w:rsid w:val="00D05F9C"/>
    <w:rsid w:val="00D06957"/>
    <w:rsid w:val="00D06984"/>
    <w:rsid w:val="00D10975"/>
    <w:rsid w:val="00D11407"/>
    <w:rsid w:val="00D11D8E"/>
    <w:rsid w:val="00D12DB2"/>
    <w:rsid w:val="00D13195"/>
    <w:rsid w:val="00D15852"/>
    <w:rsid w:val="00D15893"/>
    <w:rsid w:val="00D161D5"/>
    <w:rsid w:val="00D2063D"/>
    <w:rsid w:val="00D2104A"/>
    <w:rsid w:val="00D22675"/>
    <w:rsid w:val="00D23431"/>
    <w:rsid w:val="00D2371F"/>
    <w:rsid w:val="00D238E7"/>
    <w:rsid w:val="00D27F27"/>
    <w:rsid w:val="00D30A39"/>
    <w:rsid w:val="00D31ABE"/>
    <w:rsid w:val="00D325D5"/>
    <w:rsid w:val="00D32B6A"/>
    <w:rsid w:val="00D341E0"/>
    <w:rsid w:val="00D34DFD"/>
    <w:rsid w:val="00D37E57"/>
    <w:rsid w:val="00D40460"/>
    <w:rsid w:val="00D408C0"/>
    <w:rsid w:val="00D41497"/>
    <w:rsid w:val="00D41674"/>
    <w:rsid w:val="00D417B3"/>
    <w:rsid w:val="00D42C31"/>
    <w:rsid w:val="00D42FC6"/>
    <w:rsid w:val="00D43CD0"/>
    <w:rsid w:val="00D44223"/>
    <w:rsid w:val="00D512C8"/>
    <w:rsid w:val="00D517A1"/>
    <w:rsid w:val="00D52B82"/>
    <w:rsid w:val="00D54275"/>
    <w:rsid w:val="00D55EDB"/>
    <w:rsid w:val="00D56760"/>
    <w:rsid w:val="00D56BAF"/>
    <w:rsid w:val="00D60282"/>
    <w:rsid w:val="00D63CFB"/>
    <w:rsid w:val="00D640CC"/>
    <w:rsid w:val="00D66271"/>
    <w:rsid w:val="00D67D80"/>
    <w:rsid w:val="00D73401"/>
    <w:rsid w:val="00D7474E"/>
    <w:rsid w:val="00D75BED"/>
    <w:rsid w:val="00D77FD1"/>
    <w:rsid w:val="00D83EA0"/>
    <w:rsid w:val="00D869A5"/>
    <w:rsid w:val="00D86FC4"/>
    <w:rsid w:val="00D92E6C"/>
    <w:rsid w:val="00D94F35"/>
    <w:rsid w:val="00D95157"/>
    <w:rsid w:val="00D95BA0"/>
    <w:rsid w:val="00D95FBE"/>
    <w:rsid w:val="00D9699A"/>
    <w:rsid w:val="00D96D2B"/>
    <w:rsid w:val="00DA001F"/>
    <w:rsid w:val="00DA055D"/>
    <w:rsid w:val="00DA0C4C"/>
    <w:rsid w:val="00DA1A66"/>
    <w:rsid w:val="00DA2053"/>
    <w:rsid w:val="00DA4917"/>
    <w:rsid w:val="00DA4E2E"/>
    <w:rsid w:val="00DA4E3A"/>
    <w:rsid w:val="00DA531D"/>
    <w:rsid w:val="00DB0DCB"/>
    <w:rsid w:val="00DB4116"/>
    <w:rsid w:val="00DB49D4"/>
    <w:rsid w:val="00DC03CA"/>
    <w:rsid w:val="00DC3FA2"/>
    <w:rsid w:val="00DC788A"/>
    <w:rsid w:val="00DC7DDB"/>
    <w:rsid w:val="00DD282A"/>
    <w:rsid w:val="00DD28F6"/>
    <w:rsid w:val="00DD5BE3"/>
    <w:rsid w:val="00DD62F5"/>
    <w:rsid w:val="00DD63BF"/>
    <w:rsid w:val="00DE00CF"/>
    <w:rsid w:val="00DE1017"/>
    <w:rsid w:val="00DE16FD"/>
    <w:rsid w:val="00DE288C"/>
    <w:rsid w:val="00DE4F8D"/>
    <w:rsid w:val="00DF043B"/>
    <w:rsid w:val="00DF15FD"/>
    <w:rsid w:val="00DF26DC"/>
    <w:rsid w:val="00DF3B26"/>
    <w:rsid w:val="00DF4BFE"/>
    <w:rsid w:val="00DF4D71"/>
    <w:rsid w:val="00DF54E8"/>
    <w:rsid w:val="00DF552C"/>
    <w:rsid w:val="00DF5534"/>
    <w:rsid w:val="00DF5CF2"/>
    <w:rsid w:val="00DF6B8C"/>
    <w:rsid w:val="00DF6E70"/>
    <w:rsid w:val="00E004BB"/>
    <w:rsid w:val="00E03228"/>
    <w:rsid w:val="00E10009"/>
    <w:rsid w:val="00E1234B"/>
    <w:rsid w:val="00E13C29"/>
    <w:rsid w:val="00E176CB"/>
    <w:rsid w:val="00E17B72"/>
    <w:rsid w:val="00E20204"/>
    <w:rsid w:val="00E2180F"/>
    <w:rsid w:val="00E323C0"/>
    <w:rsid w:val="00E33851"/>
    <w:rsid w:val="00E33BC5"/>
    <w:rsid w:val="00E3421E"/>
    <w:rsid w:val="00E34CD7"/>
    <w:rsid w:val="00E35D5B"/>
    <w:rsid w:val="00E36B84"/>
    <w:rsid w:val="00E40082"/>
    <w:rsid w:val="00E414B2"/>
    <w:rsid w:val="00E42028"/>
    <w:rsid w:val="00E42DC2"/>
    <w:rsid w:val="00E42EF6"/>
    <w:rsid w:val="00E44709"/>
    <w:rsid w:val="00E45005"/>
    <w:rsid w:val="00E45809"/>
    <w:rsid w:val="00E502BE"/>
    <w:rsid w:val="00E51051"/>
    <w:rsid w:val="00E51CA0"/>
    <w:rsid w:val="00E51FAB"/>
    <w:rsid w:val="00E53413"/>
    <w:rsid w:val="00E576BE"/>
    <w:rsid w:val="00E63A8C"/>
    <w:rsid w:val="00E71345"/>
    <w:rsid w:val="00E71E73"/>
    <w:rsid w:val="00E76482"/>
    <w:rsid w:val="00E775D8"/>
    <w:rsid w:val="00E8230A"/>
    <w:rsid w:val="00E8433D"/>
    <w:rsid w:val="00E84523"/>
    <w:rsid w:val="00E85B2D"/>
    <w:rsid w:val="00E8639B"/>
    <w:rsid w:val="00E869CD"/>
    <w:rsid w:val="00E91B1F"/>
    <w:rsid w:val="00E922CC"/>
    <w:rsid w:val="00E9291E"/>
    <w:rsid w:val="00E93C23"/>
    <w:rsid w:val="00E94361"/>
    <w:rsid w:val="00E94CB1"/>
    <w:rsid w:val="00E95F66"/>
    <w:rsid w:val="00E96245"/>
    <w:rsid w:val="00E96E47"/>
    <w:rsid w:val="00EA1526"/>
    <w:rsid w:val="00EA1592"/>
    <w:rsid w:val="00EA34EB"/>
    <w:rsid w:val="00EA47D0"/>
    <w:rsid w:val="00EA54E7"/>
    <w:rsid w:val="00EA6F2E"/>
    <w:rsid w:val="00EA76B5"/>
    <w:rsid w:val="00EB0153"/>
    <w:rsid w:val="00EB15F7"/>
    <w:rsid w:val="00EB40C1"/>
    <w:rsid w:val="00EB5ABA"/>
    <w:rsid w:val="00EB5C2F"/>
    <w:rsid w:val="00EB750D"/>
    <w:rsid w:val="00EC0B6B"/>
    <w:rsid w:val="00EC1C98"/>
    <w:rsid w:val="00EC2152"/>
    <w:rsid w:val="00EC3675"/>
    <w:rsid w:val="00EC53EF"/>
    <w:rsid w:val="00EC6EBD"/>
    <w:rsid w:val="00EC6FEE"/>
    <w:rsid w:val="00EC7B20"/>
    <w:rsid w:val="00EC7D76"/>
    <w:rsid w:val="00ED0B13"/>
    <w:rsid w:val="00ED0DBA"/>
    <w:rsid w:val="00ED1DE8"/>
    <w:rsid w:val="00ED463B"/>
    <w:rsid w:val="00ED520D"/>
    <w:rsid w:val="00EE2B8F"/>
    <w:rsid w:val="00EE2E93"/>
    <w:rsid w:val="00EE3FC6"/>
    <w:rsid w:val="00EE798E"/>
    <w:rsid w:val="00EF3018"/>
    <w:rsid w:val="00EF35B3"/>
    <w:rsid w:val="00EF57DE"/>
    <w:rsid w:val="00EF5FBD"/>
    <w:rsid w:val="00EF678B"/>
    <w:rsid w:val="00EF7236"/>
    <w:rsid w:val="00EF7BB8"/>
    <w:rsid w:val="00F04970"/>
    <w:rsid w:val="00F05E1A"/>
    <w:rsid w:val="00F1048E"/>
    <w:rsid w:val="00F14180"/>
    <w:rsid w:val="00F14C3A"/>
    <w:rsid w:val="00F15371"/>
    <w:rsid w:val="00F1690C"/>
    <w:rsid w:val="00F20598"/>
    <w:rsid w:val="00F21056"/>
    <w:rsid w:val="00F210A5"/>
    <w:rsid w:val="00F21358"/>
    <w:rsid w:val="00F22307"/>
    <w:rsid w:val="00F31099"/>
    <w:rsid w:val="00F32A1C"/>
    <w:rsid w:val="00F32B86"/>
    <w:rsid w:val="00F32E4D"/>
    <w:rsid w:val="00F33E20"/>
    <w:rsid w:val="00F33E41"/>
    <w:rsid w:val="00F34A8A"/>
    <w:rsid w:val="00F4090D"/>
    <w:rsid w:val="00F40B26"/>
    <w:rsid w:val="00F45F49"/>
    <w:rsid w:val="00F463C3"/>
    <w:rsid w:val="00F47966"/>
    <w:rsid w:val="00F5091F"/>
    <w:rsid w:val="00F5215A"/>
    <w:rsid w:val="00F561EB"/>
    <w:rsid w:val="00F56939"/>
    <w:rsid w:val="00F56E96"/>
    <w:rsid w:val="00F627BE"/>
    <w:rsid w:val="00F6309E"/>
    <w:rsid w:val="00F63E50"/>
    <w:rsid w:val="00F673FA"/>
    <w:rsid w:val="00F67DCD"/>
    <w:rsid w:val="00F70742"/>
    <w:rsid w:val="00F71C55"/>
    <w:rsid w:val="00F73244"/>
    <w:rsid w:val="00F734EF"/>
    <w:rsid w:val="00F73D59"/>
    <w:rsid w:val="00F745AE"/>
    <w:rsid w:val="00F774F7"/>
    <w:rsid w:val="00F77EE9"/>
    <w:rsid w:val="00F8032F"/>
    <w:rsid w:val="00F80905"/>
    <w:rsid w:val="00F83688"/>
    <w:rsid w:val="00F85025"/>
    <w:rsid w:val="00F91E77"/>
    <w:rsid w:val="00F9279C"/>
    <w:rsid w:val="00F93F60"/>
    <w:rsid w:val="00F94E1D"/>
    <w:rsid w:val="00F95D3B"/>
    <w:rsid w:val="00FA2E37"/>
    <w:rsid w:val="00FB3523"/>
    <w:rsid w:val="00FB3624"/>
    <w:rsid w:val="00FB48D2"/>
    <w:rsid w:val="00FC25BB"/>
    <w:rsid w:val="00FC3E27"/>
    <w:rsid w:val="00FC5FF3"/>
    <w:rsid w:val="00FC64BF"/>
    <w:rsid w:val="00FC7014"/>
    <w:rsid w:val="00FC788B"/>
    <w:rsid w:val="00FC7B7D"/>
    <w:rsid w:val="00FD17CA"/>
    <w:rsid w:val="00FD27BB"/>
    <w:rsid w:val="00FD30B1"/>
    <w:rsid w:val="00FD3FBD"/>
    <w:rsid w:val="00FD4852"/>
    <w:rsid w:val="00FD5048"/>
    <w:rsid w:val="00FE02B2"/>
    <w:rsid w:val="00FE0312"/>
    <w:rsid w:val="00FE33E7"/>
    <w:rsid w:val="00FE5A88"/>
    <w:rsid w:val="00FE6889"/>
    <w:rsid w:val="00FF19F9"/>
    <w:rsid w:val="00FF1EF7"/>
    <w:rsid w:val="00FF3012"/>
    <w:rsid w:val="00FF376D"/>
    <w:rsid w:val="00FF4261"/>
    <w:rsid w:val="00FF478C"/>
    <w:rsid w:val="00FF57A8"/>
    <w:rsid w:val="00FF6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60503"/>
  <w15:docId w15:val="{24D2FC48-8EDD-480C-8296-7C8E257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35E"/>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5D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DE1"/>
    <w:rPr>
      <w:rFonts w:ascii="Tahoma" w:hAnsi="Tahoma" w:cs="Tahoma"/>
      <w:sz w:val="16"/>
      <w:szCs w:val="16"/>
    </w:rPr>
  </w:style>
  <w:style w:type="paragraph" w:styleId="Listenabsatz">
    <w:name w:val="List Paragraph"/>
    <w:basedOn w:val="Standard"/>
    <w:uiPriority w:val="34"/>
    <w:qFormat/>
    <w:rsid w:val="004F34B9"/>
    <w:pPr>
      <w:ind w:left="720"/>
      <w:contextualSpacing/>
    </w:pPr>
  </w:style>
  <w:style w:type="paragraph" w:styleId="Kopfzeile">
    <w:name w:val="header"/>
    <w:basedOn w:val="Standard"/>
    <w:link w:val="KopfzeileZchn"/>
    <w:uiPriority w:val="99"/>
    <w:unhideWhenUsed/>
    <w:rsid w:val="00CD20F8"/>
    <w:pPr>
      <w:tabs>
        <w:tab w:val="center" w:pos="4536"/>
        <w:tab w:val="right" w:pos="9072"/>
      </w:tabs>
    </w:pPr>
  </w:style>
  <w:style w:type="character" w:customStyle="1" w:styleId="KopfzeileZchn">
    <w:name w:val="Kopfzeile Zchn"/>
    <w:basedOn w:val="Absatz-Standardschriftart"/>
    <w:link w:val="Kopfzeile"/>
    <w:uiPriority w:val="99"/>
    <w:rsid w:val="00CD20F8"/>
  </w:style>
  <w:style w:type="paragraph" w:styleId="Fuzeile">
    <w:name w:val="footer"/>
    <w:basedOn w:val="Standard"/>
    <w:link w:val="FuzeileZchn"/>
    <w:uiPriority w:val="99"/>
    <w:unhideWhenUsed/>
    <w:rsid w:val="00CD20F8"/>
    <w:pPr>
      <w:tabs>
        <w:tab w:val="center" w:pos="4536"/>
        <w:tab w:val="right" w:pos="9072"/>
      </w:tabs>
    </w:pPr>
  </w:style>
  <w:style w:type="character" w:customStyle="1" w:styleId="FuzeileZchn">
    <w:name w:val="Fußzeile Zchn"/>
    <w:basedOn w:val="Absatz-Standardschriftart"/>
    <w:link w:val="Fuzeile"/>
    <w:uiPriority w:val="99"/>
    <w:rsid w:val="00CD20F8"/>
  </w:style>
  <w:style w:type="character" w:styleId="Hyperlink">
    <w:name w:val="Hyperlink"/>
    <w:basedOn w:val="Absatz-Standardschriftart"/>
    <w:uiPriority w:val="99"/>
    <w:unhideWhenUsed/>
    <w:rsid w:val="004573BD"/>
    <w:rPr>
      <w:color w:val="0000FF" w:themeColor="hyperlink"/>
      <w:u w:val="single"/>
    </w:rPr>
  </w:style>
  <w:style w:type="character" w:customStyle="1" w:styleId="NichtaufgelsteErwhnung1">
    <w:name w:val="Nicht aufgelöste Erwähnung1"/>
    <w:basedOn w:val="Absatz-Standardschriftart"/>
    <w:uiPriority w:val="99"/>
    <w:semiHidden/>
    <w:unhideWhenUsed/>
    <w:rsid w:val="004573BD"/>
    <w:rPr>
      <w:color w:val="605E5C"/>
      <w:shd w:val="clear" w:color="auto" w:fill="E1DFDD"/>
    </w:rPr>
  </w:style>
  <w:style w:type="table" w:styleId="Tabellenraster">
    <w:name w:val="Table Grid"/>
    <w:basedOn w:val="NormaleTabelle"/>
    <w:uiPriority w:val="59"/>
    <w:rsid w:val="00C1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13C29"/>
    <w:rPr>
      <w:sz w:val="16"/>
      <w:szCs w:val="16"/>
    </w:rPr>
  </w:style>
  <w:style w:type="paragraph" w:styleId="Kommentartext">
    <w:name w:val="annotation text"/>
    <w:basedOn w:val="Standard"/>
    <w:link w:val="KommentartextZchn"/>
    <w:uiPriority w:val="99"/>
    <w:unhideWhenUsed/>
    <w:rsid w:val="00E13C29"/>
  </w:style>
  <w:style w:type="character" w:customStyle="1" w:styleId="KommentartextZchn">
    <w:name w:val="Kommentartext Zchn"/>
    <w:basedOn w:val="Absatz-Standardschriftart"/>
    <w:link w:val="Kommentartext"/>
    <w:uiPriority w:val="99"/>
    <w:rsid w:val="00E13C29"/>
  </w:style>
  <w:style w:type="paragraph" w:styleId="Kommentarthema">
    <w:name w:val="annotation subject"/>
    <w:basedOn w:val="Kommentartext"/>
    <w:next w:val="Kommentartext"/>
    <w:link w:val="KommentarthemaZchn"/>
    <w:uiPriority w:val="99"/>
    <w:semiHidden/>
    <w:unhideWhenUsed/>
    <w:rsid w:val="00E13C29"/>
    <w:rPr>
      <w:b/>
      <w:bCs/>
    </w:rPr>
  </w:style>
  <w:style w:type="character" w:customStyle="1" w:styleId="KommentarthemaZchn">
    <w:name w:val="Kommentarthema Zchn"/>
    <w:basedOn w:val="KommentartextZchn"/>
    <w:link w:val="Kommentarthema"/>
    <w:uiPriority w:val="99"/>
    <w:semiHidden/>
    <w:rsid w:val="00E13C29"/>
    <w:rPr>
      <w:b/>
      <w:bCs/>
    </w:rPr>
  </w:style>
  <w:style w:type="paragraph" w:styleId="berarbeitung">
    <w:name w:val="Revision"/>
    <w:hidden/>
    <w:uiPriority w:val="99"/>
    <w:semiHidden/>
    <w:rsid w:val="00E13C29"/>
  </w:style>
  <w:style w:type="character" w:customStyle="1" w:styleId="NichtaufgelsteErwhnung2">
    <w:name w:val="Nicht aufgelöste Erwähnung2"/>
    <w:basedOn w:val="Absatz-Standardschriftart"/>
    <w:uiPriority w:val="99"/>
    <w:semiHidden/>
    <w:unhideWhenUsed/>
    <w:rsid w:val="00C2352F"/>
    <w:rPr>
      <w:color w:val="605E5C"/>
      <w:shd w:val="clear" w:color="auto" w:fill="E1DFDD"/>
    </w:rPr>
  </w:style>
  <w:style w:type="character" w:customStyle="1" w:styleId="etyp">
    <w:name w:val="etyp"/>
    <w:basedOn w:val="Absatz-Standardschriftart"/>
    <w:rsid w:val="0003262B"/>
  </w:style>
  <w:style w:type="character" w:customStyle="1" w:styleId="datum">
    <w:name w:val="datum"/>
    <w:basedOn w:val="Absatz-Standardschriftart"/>
    <w:rsid w:val="0003262B"/>
  </w:style>
  <w:style w:type="character" w:customStyle="1" w:styleId="az">
    <w:name w:val="az"/>
    <w:basedOn w:val="Absatz-Standardschriftart"/>
    <w:rsid w:val="0003262B"/>
  </w:style>
  <w:style w:type="character" w:customStyle="1" w:styleId="markb1loinhsb">
    <w:name w:val="markb1loinhsb"/>
    <w:basedOn w:val="Absatz-Standardschriftart"/>
    <w:rsid w:val="00045A25"/>
  </w:style>
  <w:style w:type="character" w:customStyle="1" w:styleId="NichtaufgelsteErwhnung3">
    <w:name w:val="Nicht aufgelöste Erwähnung3"/>
    <w:basedOn w:val="Absatz-Standardschriftart"/>
    <w:uiPriority w:val="99"/>
    <w:semiHidden/>
    <w:unhideWhenUsed/>
    <w:rsid w:val="00F9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194">
      <w:bodyDiv w:val="1"/>
      <w:marLeft w:val="0"/>
      <w:marRight w:val="0"/>
      <w:marTop w:val="0"/>
      <w:marBottom w:val="0"/>
      <w:divBdr>
        <w:top w:val="none" w:sz="0" w:space="0" w:color="auto"/>
        <w:left w:val="none" w:sz="0" w:space="0" w:color="auto"/>
        <w:bottom w:val="none" w:sz="0" w:space="0" w:color="auto"/>
        <w:right w:val="none" w:sz="0" w:space="0" w:color="auto"/>
      </w:divBdr>
    </w:div>
    <w:div w:id="69695205">
      <w:bodyDiv w:val="1"/>
      <w:marLeft w:val="0"/>
      <w:marRight w:val="0"/>
      <w:marTop w:val="0"/>
      <w:marBottom w:val="0"/>
      <w:divBdr>
        <w:top w:val="none" w:sz="0" w:space="0" w:color="auto"/>
        <w:left w:val="none" w:sz="0" w:space="0" w:color="auto"/>
        <w:bottom w:val="none" w:sz="0" w:space="0" w:color="auto"/>
        <w:right w:val="none" w:sz="0" w:space="0" w:color="auto"/>
      </w:divBdr>
    </w:div>
    <w:div w:id="140465310">
      <w:bodyDiv w:val="1"/>
      <w:marLeft w:val="0"/>
      <w:marRight w:val="0"/>
      <w:marTop w:val="0"/>
      <w:marBottom w:val="0"/>
      <w:divBdr>
        <w:top w:val="none" w:sz="0" w:space="0" w:color="auto"/>
        <w:left w:val="none" w:sz="0" w:space="0" w:color="auto"/>
        <w:bottom w:val="none" w:sz="0" w:space="0" w:color="auto"/>
        <w:right w:val="none" w:sz="0" w:space="0" w:color="auto"/>
      </w:divBdr>
    </w:div>
    <w:div w:id="191306786">
      <w:bodyDiv w:val="1"/>
      <w:marLeft w:val="0"/>
      <w:marRight w:val="0"/>
      <w:marTop w:val="0"/>
      <w:marBottom w:val="0"/>
      <w:divBdr>
        <w:top w:val="none" w:sz="0" w:space="0" w:color="auto"/>
        <w:left w:val="none" w:sz="0" w:space="0" w:color="auto"/>
        <w:bottom w:val="none" w:sz="0" w:space="0" w:color="auto"/>
        <w:right w:val="none" w:sz="0" w:space="0" w:color="auto"/>
      </w:divBdr>
    </w:div>
    <w:div w:id="202254623">
      <w:bodyDiv w:val="1"/>
      <w:marLeft w:val="0"/>
      <w:marRight w:val="0"/>
      <w:marTop w:val="0"/>
      <w:marBottom w:val="0"/>
      <w:divBdr>
        <w:top w:val="none" w:sz="0" w:space="0" w:color="auto"/>
        <w:left w:val="none" w:sz="0" w:space="0" w:color="auto"/>
        <w:bottom w:val="none" w:sz="0" w:space="0" w:color="auto"/>
        <w:right w:val="none" w:sz="0" w:space="0" w:color="auto"/>
      </w:divBdr>
    </w:div>
    <w:div w:id="205026626">
      <w:bodyDiv w:val="1"/>
      <w:marLeft w:val="0"/>
      <w:marRight w:val="0"/>
      <w:marTop w:val="0"/>
      <w:marBottom w:val="0"/>
      <w:divBdr>
        <w:top w:val="none" w:sz="0" w:space="0" w:color="auto"/>
        <w:left w:val="none" w:sz="0" w:space="0" w:color="auto"/>
        <w:bottom w:val="none" w:sz="0" w:space="0" w:color="auto"/>
        <w:right w:val="none" w:sz="0" w:space="0" w:color="auto"/>
      </w:divBdr>
    </w:div>
    <w:div w:id="209653526">
      <w:bodyDiv w:val="1"/>
      <w:marLeft w:val="0"/>
      <w:marRight w:val="0"/>
      <w:marTop w:val="0"/>
      <w:marBottom w:val="0"/>
      <w:divBdr>
        <w:top w:val="none" w:sz="0" w:space="0" w:color="auto"/>
        <w:left w:val="none" w:sz="0" w:space="0" w:color="auto"/>
        <w:bottom w:val="none" w:sz="0" w:space="0" w:color="auto"/>
        <w:right w:val="none" w:sz="0" w:space="0" w:color="auto"/>
      </w:divBdr>
    </w:div>
    <w:div w:id="229196985">
      <w:bodyDiv w:val="1"/>
      <w:marLeft w:val="0"/>
      <w:marRight w:val="0"/>
      <w:marTop w:val="0"/>
      <w:marBottom w:val="0"/>
      <w:divBdr>
        <w:top w:val="none" w:sz="0" w:space="0" w:color="auto"/>
        <w:left w:val="none" w:sz="0" w:space="0" w:color="auto"/>
        <w:bottom w:val="none" w:sz="0" w:space="0" w:color="auto"/>
        <w:right w:val="none" w:sz="0" w:space="0" w:color="auto"/>
      </w:divBdr>
    </w:div>
    <w:div w:id="238683828">
      <w:bodyDiv w:val="1"/>
      <w:marLeft w:val="0"/>
      <w:marRight w:val="0"/>
      <w:marTop w:val="0"/>
      <w:marBottom w:val="0"/>
      <w:divBdr>
        <w:top w:val="none" w:sz="0" w:space="0" w:color="auto"/>
        <w:left w:val="none" w:sz="0" w:space="0" w:color="auto"/>
        <w:bottom w:val="none" w:sz="0" w:space="0" w:color="auto"/>
        <w:right w:val="none" w:sz="0" w:space="0" w:color="auto"/>
      </w:divBdr>
    </w:div>
    <w:div w:id="261111696">
      <w:bodyDiv w:val="1"/>
      <w:marLeft w:val="0"/>
      <w:marRight w:val="0"/>
      <w:marTop w:val="0"/>
      <w:marBottom w:val="0"/>
      <w:divBdr>
        <w:top w:val="none" w:sz="0" w:space="0" w:color="auto"/>
        <w:left w:val="none" w:sz="0" w:space="0" w:color="auto"/>
        <w:bottom w:val="none" w:sz="0" w:space="0" w:color="auto"/>
        <w:right w:val="none" w:sz="0" w:space="0" w:color="auto"/>
      </w:divBdr>
    </w:div>
    <w:div w:id="261381616">
      <w:bodyDiv w:val="1"/>
      <w:marLeft w:val="0"/>
      <w:marRight w:val="0"/>
      <w:marTop w:val="0"/>
      <w:marBottom w:val="0"/>
      <w:divBdr>
        <w:top w:val="none" w:sz="0" w:space="0" w:color="auto"/>
        <w:left w:val="none" w:sz="0" w:space="0" w:color="auto"/>
        <w:bottom w:val="none" w:sz="0" w:space="0" w:color="auto"/>
        <w:right w:val="none" w:sz="0" w:space="0" w:color="auto"/>
      </w:divBdr>
    </w:div>
    <w:div w:id="262034410">
      <w:bodyDiv w:val="1"/>
      <w:marLeft w:val="0"/>
      <w:marRight w:val="0"/>
      <w:marTop w:val="0"/>
      <w:marBottom w:val="0"/>
      <w:divBdr>
        <w:top w:val="none" w:sz="0" w:space="0" w:color="auto"/>
        <w:left w:val="none" w:sz="0" w:space="0" w:color="auto"/>
        <w:bottom w:val="none" w:sz="0" w:space="0" w:color="auto"/>
        <w:right w:val="none" w:sz="0" w:space="0" w:color="auto"/>
      </w:divBdr>
    </w:div>
    <w:div w:id="295448997">
      <w:bodyDiv w:val="1"/>
      <w:marLeft w:val="0"/>
      <w:marRight w:val="0"/>
      <w:marTop w:val="0"/>
      <w:marBottom w:val="0"/>
      <w:divBdr>
        <w:top w:val="none" w:sz="0" w:space="0" w:color="auto"/>
        <w:left w:val="none" w:sz="0" w:space="0" w:color="auto"/>
        <w:bottom w:val="none" w:sz="0" w:space="0" w:color="auto"/>
        <w:right w:val="none" w:sz="0" w:space="0" w:color="auto"/>
      </w:divBdr>
    </w:div>
    <w:div w:id="381029440">
      <w:bodyDiv w:val="1"/>
      <w:marLeft w:val="0"/>
      <w:marRight w:val="0"/>
      <w:marTop w:val="0"/>
      <w:marBottom w:val="0"/>
      <w:divBdr>
        <w:top w:val="none" w:sz="0" w:space="0" w:color="auto"/>
        <w:left w:val="none" w:sz="0" w:space="0" w:color="auto"/>
        <w:bottom w:val="none" w:sz="0" w:space="0" w:color="auto"/>
        <w:right w:val="none" w:sz="0" w:space="0" w:color="auto"/>
      </w:divBdr>
    </w:div>
    <w:div w:id="399444382">
      <w:bodyDiv w:val="1"/>
      <w:marLeft w:val="0"/>
      <w:marRight w:val="0"/>
      <w:marTop w:val="0"/>
      <w:marBottom w:val="0"/>
      <w:divBdr>
        <w:top w:val="none" w:sz="0" w:space="0" w:color="auto"/>
        <w:left w:val="none" w:sz="0" w:space="0" w:color="auto"/>
        <w:bottom w:val="none" w:sz="0" w:space="0" w:color="auto"/>
        <w:right w:val="none" w:sz="0" w:space="0" w:color="auto"/>
      </w:divBdr>
    </w:div>
    <w:div w:id="461120616">
      <w:bodyDiv w:val="1"/>
      <w:marLeft w:val="0"/>
      <w:marRight w:val="0"/>
      <w:marTop w:val="0"/>
      <w:marBottom w:val="0"/>
      <w:divBdr>
        <w:top w:val="none" w:sz="0" w:space="0" w:color="auto"/>
        <w:left w:val="none" w:sz="0" w:space="0" w:color="auto"/>
        <w:bottom w:val="none" w:sz="0" w:space="0" w:color="auto"/>
        <w:right w:val="none" w:sz="0" w:space="0" w:color="auto"/>
      </w:divBdr>
    </w:div>
    <w:div w:id="508982381">
      <w:bodyDiv w:val="1"/>
      <w:marLeft w:val="0"/>
      <w:marRight w:val="0"/>
      <w:marTop w:val="0"/>
      <w:marBottom w:val="0"/>
      <w:divBdr>
        <w:top w:val="none" w:sz="0" w:space="0" w:color="auto"/>
        <w:left w:val="none" w:sz="0" w:space="0" w:color="auto"/>
        <w:bottom w:val="none" w:sz="0" w:space="0" w:color="auto"/>
        <w:right w:val="none" w:sz="0" w:space="0" w:color="auto"/>
      </w:divBdr>
    </w:div>
    <w:div w:id="589116950">
      <w:bodyDiv w:val="1"/>
      <w:marLeft w:val="0"/>
      <w:marRight w:val="0"/>
      <w:marTop w:val="0"/>
      <w:marBottom w:val="0"/>
      <w:divBdr>
        <w:top w:val="none" w:sz="0" w:space="0" w:color="auto"/>
        <w:left w:val="none" w:sz="0" w:space="0" w:color="auto"/>
        <w:bottom w:val="none" w:sz="0" w:space="0" w:color="auto"/>
        <w:right w:val="none" w:sz="0" w:space="0" w:color="auto"/>
      </w:divBdr>
    </w:div>
    <w:div w:id="593560120">
      <w:bodyDiv w:val="1"/>
      <w:marLeft w:val="0"/>
      <w:marRight w:val="0"/>
      <w:marTop w:val="0"/>
      <w:marBottom w:val="0"/>
      <w:divBdr>
        <w:top w:val="none" w:sz="0" w:space="0" w:color="auto"/>
        <w:left w:val="none" w:sz="0" w:space="0" w:color="auto"/>
        <w:bottom w:val="none" w:sz="0" w:space="0" w:color="auto"/>
        <w:right w:val="none" w:sz="0" w:space="0" w:color="auto"/>
      </w:divBdr>
    </w:div>
    <w:div w:id="632559084">
      <w:bodyDiv w:val="1"/>
      <w:marLeft w:val="0"/>
      <w:marRight w:val="0"/>
      <w:marTop w:val="0"/>
      <w:marBottom w:val="0"/>
      <w:divBdr>
        <w:top w:val="none" w:sz="0" w:space="0" w:color="auto"/>
        <w:left w:val="none" w:sz="0" w:space="0" w:color="auto"/>
        <w:bottom w:val="none" w:sz="0" w:space="0" w:color="auto"/>
        <w:right w:val="none" w:sz="0" w:space="0" w:color="auto"/>
      </w:divBdr>
    </w:div>
    <w:div w:id="678853199">
      <w:bodyDiv w:val="1"/>
      <w:marLeft w:val="0"/>
      <w:marRight w:val="0"/>
      <w:marTop w:val="0"/>
      <w:marBottom w:val="0"/>
      <w:divBdr>
        <w:top w:val="none" w:sz="0" w:space="0" w:color="auto"/>
        <w:left w:val="none" w:sz="0" w:space="0" w:color="auto"/>
        <w:bottom w:val="none" w:sz="0" w:space="0" w:color="auto"/>
        <w:right w:val="none" w:sz="0" w:space="0" w:color="auto"/>
      </w:divBdr>
    </w:div>
    <w:div w:id="682902915">
      <w:bodyDiv w:val="1"/>
      <w:marLeft w:val="0"/>
      <w:marRight w:val="0"/>
      <w:marTop w:val="0"/>
      <w:marBottom w:val="0"/>
      <w:divBdr>
        <w:top w:val="none" w:sz="0" w:space="0" w:color="auto"/>
        <w:left w:val="none" w:sz="0" w:space="0" w:color="auto"/>
        <w:bottom w:val="none" w:sz="0" w:space="0" w:color="auto"/>
        <w:right w:val="none" w:sz="0" w:space="0" w:color="auto"/>
      </w:divBdr>
    </w:div>
    <w:div w:id="723680531">
      <w:bodyDiv w:val="1"/>
      <w:marLeft w:val="0"/>
      <w:marRight w:val="0"/>
      <w:marTop w:val="0"/>
      <w:marBottom w:val="0"/>
      <w:divBdr>
        <w:top w:val="none" w:sz="0" w:space="0" w:color="auto"/>
        <w:left w:val="none" w:sz="0" w:space="0" w:color="auto"/>
        <w:bottom w:val="none" w:sz="0" w:space="0" w:color="auto"/>
        <w:right w:val="none" w:sz="0" w:space="0" w:color="auto"/>
      </w:divBdr>
    </w:div>
    <w:div w:id="763233474">
      <w:bodyDiv w:val="1"/>
      <w:marLeft w:val="0"/>
      <w:marRight w:val="0"/>
      <w:marTop w:val="0"/>
      <w:marBottom w:val="0"/>
      <w:divBdr>
        <w:top w:val="none" w:sz="0" w:space="0" w:color="auto"/>
        <w:left w:val="none" w:sz="0" w:space="0" w:color="auto"/>
        <w:bottom w:val="none" w:sz="0" w:space="0" w:color="auto"/>
        <w:right w:val="none" w:sz="0" w:space="0" w:color="auto"/>
      </w:divBdr>
    </w:div>
    <w:div w:id="799231707">
      <w:bodyDiv w:val="1"/>
      <w:marLeft w:val="0"/>
      <w:marRight w:val="0"/>
      <w:marTop w:val="0"/>
      <w:marBottom w:val="0"/>
      <w:divBdr>
        <w:top w:val="none" w:sz="0" w:space="0" w:color="auto"/>
        <w:left w:val="none" w:sz="0" w:space="0" w:color="auto"/>
        <w:bottom w:val="none" w:sz="0" w:space="0" w:color="auto"/>
        <w:right w:val="none" w:sz="0" w:space="0" w:color="auto"/>
      </w:divBdr>
    </w:div>
    <w:div w:id="883256481">
      <w:bodyDiv w:val="1"/>
      <w:marLeft w:val="0"/>
      <w:marRight w:val="0"/>
      <w:marTop w:val="0"/>
      <w:marBottom w:val="0"/>
      <w:divBdr>
        <w:top w:val="none" w:sz="0" w:space="0" w:color="auto"/>
        <w:left w:val="none" w:sz="0" w:space="0" w:color="auto"/>
        <w:bottom w:val="none" w:sz="0" w:space="0" w:color="auto"/>
        <w:right w:val="none" w:sz="0" w:space="0" w:color="auto"/>
      </w:divBdr>
    </w:div>
    <w:div w:id="894856794">
      <w:bodyDiv w:val="1"/>
      <w:marLeft w:val="0"/>
      <w:marRight w:val="0"/>
      <w:marTop w:val="0"/>
      <w:marBottom w:val="0"/>
      <w:divBdr>
        <w:top w:val="none" w:sz="0" w:space="0" w:color="auto"/>
        <w:left w:val="none" w:sz="0" w:space="0" w:color="auto"/>
        <w:bottom w:val="none" w:sz="0" w:space="0" w:color="auto"/>
        <w:right w:val="none" w:sz="0" w:space="0" w:color="auto"/>
      </w:divBdr>
    </w:div>
    <w:div w:id="901674635">
      <w:bodyDiv w:val="1"/>
      <w:marLeft w:val="0"/>
      <w:marRight w:val="0"/>
      <w:marTop w:val="0"/>
      <w:marBottom w:val="0"/>
      <w:divBdr>
        <w:top w:val="none" w:sz="0" w:space="0" w:color="auto"/>
        <w:left w:val="none" w:sz="0" w:space="0" w:color="auto"/>
        <w:bottom w:val="none" w:sz="0" w:space="0" w:color="auto"/>
        <w:right w:val="none" w:sz="0" w:space="0" w:color="auto"/>
      </w:divBdr>
    </w:div>
    <w:div w:id="924343075">
      <w:bodyDiv w:val="1"/>
      <w:marLeft w:val="0"/>
      <w:marRight w:val="0"/>
      <w:marTop w:val="0"/>
      <w:marBottom w:val="0"/>
      <w:divBdr>
        <w:top w:val="none" w:sz="0" w:space="0" w:color="auto"/>
        <w:left w:val="none" w:sz="0" w:space="0" w:color="auto"/>
        <w:bottom w:val="none" w:sz="0" w:space="0" w:color="auto"/>
        <w:right w:val="none" w:sz="0" w:space="0" w:color="auto"/>
      </w:divBdr>
    </w:div>
    <w:div w:id="1039814016">
      <w:bodyDiv w:val="1"/>
      <w:marLeft w:val="0"/>
      <w:marRight w:val="0"/>
      <w:marTop w:val="0"/>
      <w:marBottom w:val="0"/>
      <w:divBdr>
        <w:top w:val="none" w:sz="0" w:space="0" w:color="auto"/>
        <w:left w:val="none" w:sz="0" w:space="0" w:color="auto"/>
        <w:bottom w:val="none" w:sz="0" w:space="0" w:color="auto"/>
        <w:right w:val="none" w:sz="0" w:space="0" w:color="auto"/>
      </w:divBdr>
    </w:div>
    <w:div w:id="1042096457">
      <w:bodyDiv w:val="1"/>
      <w:marLeft w:val="0"/>
      <w:marRight w:val="0"/>
      <w:marTop w:val="0"/>
      <w:marBottom w:val="0"/>
      <w:divBdr>
        <w:top w:val="none" w:sz="0" w:space="0" w:color="auto"/>
        <w:left w:val="none" w:sz="0" w:space="0" w:color="auto"/>
        <w:bottom w:val="none" w:sz="0" w:space="0" w:color="auto"/>
        <w:right w:val="none" w:sz="0" w:space="0" w:color="auto"/>
      </w:divBdr>
    </w:div>
    <w:div w:id="1068763878">
      <w:bodyDiv w:val="1"/>
      <w:marLeft w:val="0"/>
      <w:marRight w:val="0"/>
      <w:marTop w:val="0"/>
      <w:marBottom w:val="0"/>
      <w:divBdr>
        <w:top w:val="none" w:sz="0" w:space="0" w:color="auto"/>
        <w:left w:val="none" w:sz="0" w:space="0" w:color="auto"/>
        <w:bottom w:val="none" w:sz="0" w:space="0" w:color="auto"/>
        <w:right w:val="none" w:sz="0" w:space="0" w:color="auto"/>
      </w:divBdr>
    </w:div>
    <w:div w:id="1080759669">
      <w:bodyDiv w:val="1"/>
      <w:marLeft w:val="0"/>
      <w:marRight w:val="0"/>
      <w:marTop w:val="0"/>
      <w:marBottom w:val="0"/>
      <w:divBdr>
        <w:top w:val="none" w:sz="0" w:space="0" w:color="auto"/>
        <w:left w:val="none" w:sz="0" w:space="0" w:color="auto"/>
        <w:bottom w:val="none" w:sz="0" w:space="0" w:color="auto"/>
        <w:right w:val="none" w:sz="0" w:space="0" w:color="auto"/>
      </w:divBdr>
    </w:div>
    <w:div w:id="1119951009">
      <w:bodyDiv w:val="1"/>
      <w:marLeft w:val="0"/>
      <w:marRight w:val="0"/>
      <w:marTop w:val="0"/>
      <w:marBottom w:val="0"/>
      <w:divBdr>
        <w:top w:val="none" w:sz="0" w:space="0" w:color="auto"/>
        <w:left w:val="none" w:sz="0" w:space="0" w:color="auto"/>
        <w:bottom w:val="none" w:sz="0" w:space="0" w:color="auto"/>
        <w:right w:val="none" w:sz="0" w:space="0" w:color="auto"/>
      </w:divBdr>
    </w:div>
    <w:div w:id="1120954988">
      <w:bodyDiv w:val="1"/>
      <w:marLeft w:val="0"/>
      <w:marRight w:val="0"/>
      <w:marTop w:val="0"/>
      <w:marBottom w:val="0"/>
      <w:divBdr>
        <w:top w:val="none" w:sz="0" w:space="0" w:color="auto"/>
        <w:left w:val="none" w:sz="0" w:space="0" w:color="auto"/>
        <w:bottom w:val="none" w:sz="0" w:space="0" w:color="auto"/>
        <w:right w:val="none" w:sz="0" w:space="0" w:color="auto"/>
      </w:divBdr>
    </w:div>
    <w:div w:id="1127118200">
      <w:bodyDiv w:val="1"/>
      <w:marLeft w:val="0"/>
      <w:marRight w:val="0"/>
      <w:marTop w:val="0"/>
      <w:marBottom w:val="0"/>
      <w:divBdr>
        <w:top w:val="none" w:sz="0" w:space="0" w:color="auto"/>
        <w:left w:val="none" w:sz="0" w:space="0" w:color="auto"/>
        <w:bottom w:val="none" w:sz="0" w:space="0" w:color="auto"/>
        <w:right w:val="none" w:sz="0" w:space="0" w:color="auto"/>
      </w:divBdr>
    </w:div>
    <w:div w:id="1155680840">
      <w:bodyDiv w:val="1"/>
      <w:marLeft w:val="0"/>
      <w:marRight w:val="0"/>
      <w:marTop w:val="0"/>
      <w:marBottom w:val="0"/>
      <w:divBdr>
        <w:top w:val="none" w:sz="0" w:space="0" w:color="auto"/>
        <w:left w:val="none" w:sz="0" w:space="0" w:color="auto"/>
        <w:bottom w:val="none" w:sz="0" w:space="0" w:color="auto"/>
        <w:right w:val="none" w:sz="0" w:space="0" w:color="auto"/>
      </w:divBdr>
    </w:div>
    <w:div w:id="1163549420">
      <w:bodyDiv w:val="1"/>
      <w:marLeft w:val="0"/>
      <w:marRight w:val="0"/>
      <w:marTop w:val="0"/>
      <w:marBottom w:val="0"/>
      <w:divBdr>
        <w:top w:val="none" w:sz="0" w:space="0" w:color="auto"/>
        <w:left w:val="none" w:sz="0" w:space="0" w:color="auto"/>
        <w:bottom w:val="none" w:sz="0" w:space="0" w:color="auto"/>
        <w:right w:val="none" w:sz="0" w:space="0" w:color="auto"/>
      </w:divBdr>
    </w:div>
    <w:div w:id="1186207940">
      <w:bodyDiv w:val="1"/>
      <w:marLeft w:val="0"/>
      <w:marRight w:val="0"/>
      <w:marTop w:val="0"/>
      <w:marBottom w:val="0"/>
      <w:divBdr>
        <w:top w:val="none" w:sz="0" w:space="0" w:color="auto"/>
        <w:left w:val="none" w:sz="0" w:space="0" w:color="auto"/>
        <w:bottom w:val="none" w:sz="0" w:space="0" w:color="auto"/>
        <w:right w:val="none" w:sz="0" w:space="0" w:color="auto"/>
      </w:divBdr>
    </w:div>
    <w:div w:id="1189636412">
      <w:bodyDiv w:val="1"/>
      <w:marLeft w:val="0"/>
      <w:marRight w:val="0"/>
      <w:marTop w:val="0"/>
      <w:marBottom w:val="0"/>
      <w:divBdr>
        <w:top w:val="none" w:sz="0" w:space="0" w:color="auto"/>
        <w:left w:val="none" w:sz="0" w:space="0" w:color="auto"/>
        <w:bottom w:val="none" w:sz="0" w:space="0" w:color="auto"/>
        <w:right w:val="none" w:sz="0" w:space="0" w:color="auto"/>
      </w:divBdr>
    </w:div>
    <w:div w:id="1225221444">
      <w:bodyDiv w:val="1"/>
      <w:marLeft w:val="0"/>
      <w:marRight w:val="0"/>
      <w:marTop w:val="0"/>
      <w:marBottom w:val="0"/>
      <w:divBdr>
        <w:top w:val="none" w:sz="0" w:space="0" w:color="auto"/>
        <w:left w:val="none" w:sz="0" w:space="0" w:color="auto"/>
        <w:bottom w:val="none" w:sz="0" w:space="0" w:color="auto"/>
        <w:right w:val="none" w:sz="0" w:space="0" w:color="auto"/>
      </w:divBdr>
    </w:div>
    <w:div w:id="1229995129">
      <w:bodyDiv w:val="1"/>
      <w:marLeft w:val="0"/>
      <w:marRight w:val="0"/>
      <w:marTop w:val="0"/>
      <w:marBottom w:val="0"/>
      <w:divBdr>
        <w:top w:val="none" w:sz="0" w:space="0" w:color="auto"/>
        <w:left w:val="none" w:sz="0" w:space="0" w:color="auto"/>
        <w:bottom w:val="none" w:sz="0" w:space="0" w:color="auto"/>
        <w:right w:val="none" w:sz="0" w:space="0" w:color="auto"/>
      </w:divBdr>
    </w:div>
    <w:div w:id="1247350405">
      <w:bodyDiv w:val="1"/>
      <w:marLeft w:val="0"/>
      <w:marRight w:val="0"/>
      <w:marTop w:val="0"/>
      <w:marBottom w:val="0"/>
      <w:divBdr>
        <w:top w:val="none" w:sz="0" w:space="0" w:color="auto"/>
        <w:left w:val="none" w:sz="0" w:space="0" w:color="auto"/>
        <w:bottom w:val="none" w:sz="0" w:space="0" w:color="auto"/>
        <w:right w:val="none" w:sz="0" w:space="0" w:color="auto"/>
      </w:divBdr>
    </w:div>
    <w:div w:id="1276674013">
      <w:bodyDiv w:val="1"/>
      <w:marLeft w:val="0"/>
      <w:marRight w:val="0"/>
      <w:marTop w:val="0"/>
      <w:marBottom w:val="0"/>
      <w:divBdr>
        <w:top w:val="none" w:sz="0" w:space="0" w:color="auto"/>
        <w:left w:val="none" w:sz="0" w:space="0" w:color="auto"/>
        <w:bottom w:val="none" w:sz="0" w:space="0" w:color="auto"/>
        <w:right w:val="none" w:sz="0" w:space="0" w:color="auto"/>
      </w:divBdr>
    </w:div>
    <w:div w:id="1333528396">
      <w:bodyDiv w:val="1"/>
      <w:marLeft w:val="0"/>
      <w:marRight w:val="0"/>
      <w:marTop w:val="0"/>
      <w:marBottom w:val="0"/>
      <w:divBdr>
        <w:top w:val="none" w:sz="0" w:space="0" w:color="auto"/>
        <w:left w:val="none" w:sz="0" w:space="0" w:color="auto"/>
        <w:bottom w:val="none" w:sz="0" w:space="0" w:color="auto"/>
        <w:right w:val="none" w:sz="0" w:space="0" w:color="auto"/>
      </w:divBdr>
    </w:div>
    <w:div w:id="1359233350">
      <w:bodyDiv w:val="1"/>
      <w:marLeft w:val="0"/>
      <w:marRight w:val="0"/>
      <w:marTop w:val="0"/>
      <w:marBottom w:val="0"/>
      <w:divBdr>
        <w:top w:val="none" w:sz="0" w:space="0" w:color="auto"/>
        <w:left w:val="none" w:sz="0" w:space="0" w:color="auto"/>
        <w:bottom w:val="none" w:sz="0" w:space="0" w:color="auto"/>
        <w:right w:val="none" w:sz="0" w:space="0" w:color="auto"/>
      </w:divBdr>
    </w:div>
    <w:div w:id="1362903844">
      <w:bodyDiv w:val="1"/>
      <w:marLeft w:val="0"/>
      <w:marRight w:val="0"/>
      <w:marTop w:val="0"/>
      <w:marBottom w:val="0"/>
      <w:divBdr>
        <w:top w:val="none" w:sz="0" w:space="0" w:color="auto"/>
        <w:left w:val="none" w:sz="0" w:space="0" w:color="auto"/>
        <w:bottom w:val="none" w:sz="0" w:space="0" w:color="auto"/>
        <w:right w:val="none" w:sz="0" w:space="0" w:color="auto"/>
      </w:divBdr>
    </w:div>
    <w:div w:id="1373916791">
      <w:bodyDiv w:val="1"/>
      <w:marLeft w:val="0"/>
      <w:marRight w:val="0"/>
      <w:marTop w:val="0"/>
      <w:marBottom w:val="0"/>
      <w:divBdr>
        <w:top w:val="none" w:sz="0" w:space="0" w:color="auto"/>
        <w:left w:val="none" w:sz="0" w:space="0" w:color="auto"/>
        <w:bottom w:val="none" w:sz="0" w:space="0" w:color="auto"/>
        <w:right w:val="none" w:sz="0" w:space="0" w:color="auto"/>
      </w:divBdr>
    </w:div>
    <w:div w:id="1377923473">
      <w:bodyDiv w:val="1"/>
      <w:marLeft w:val="0"/>
      <w:marRight w:val="0"/>
      <w:marTop w:val="0"/>
      <w:marBottom w:val="0"/>
      <w:divBdr>
        <w:top w:val="none" w:sz="0" w:space="0" w:color="auto"/>
        <w:left w:val="none" w:sz="0" w:space="0" w:color="auto"/>
        <w:bottom w:val="none" w:sz="0" w:space="0" w:color="auto"/>
        <w:right w:val="none" w:sz="0" w:space="0" w:color="auto"/>
      </w:divBdr>
    </w:div>
    <w:div w:id="1383675406">
      <w:bodyDiv w:val="1"/>
      <w:marLeft w:val="0"/>
      <w:marRight w:val="0"/>
      <w:marTop w:val="0"/>
      <w:marBottom w:val="0"/>
      <w:divBdr>
        <w:top w:val="none" w:sz="0" w:space="0" w:color="auto"/>
        <w:left w:val="none" w:sz="0" w:space="0" w:color="auto"/>
        <w:bottom w:val="none" w:sz="0" w:space="0" w:color="auto"/>
        <w:right w:val="none" w:sz="0" w:space="0" w:color="auto"/>
      </w:divBdr>
    </w:div>
    <w:div w:id="1412697260">
      <w:bodyDiv w:val="1"/>
      <w:marLeft w:val="0"/>
      <w:marRight w:val="0"/>
      <w:marTop w:val="0"/>
      <w:marBottom w:val="0"/>
      <w:divBdr>
        <w:top w:val="none" w:sz="0" w:space="0" w:color="auto"/>
        <w:left w:val="none" w:sz="0" w:space="0" w:color="auto"/>
        <w:bottom w:val="none" w:sz="0" w:space="0" w:color="auto"/>
        <w:right w:val="none" w:sz="0" w:space="0" w:color="auto"/>
      </w:divBdr>
    </w:div>
    <w:div w:id="1418668637">
      <w:bodyDiv w:val="1"/>
      <w:marLeft w:val="0"/>
      <w:marRight w:val="0"/>
      <w:marTop w:val="0"/>
      <w:marBottom w:val="0"/>
      <w:divBdr>
        <w:top w:val="none" w:sz="0" w:space="0" w:color="auto"/>
        <w:left w:val="none" w:sz="0" w:space="0" w:color="auto"/>
        <w:bottom w:val="none" w:sz="0" w:space="0" w:color="auto"/>
        <w:right w:val="none" w:sz="0" w:space="0" w:color="auto"/>
      </w:divBdr>
    </w:div>
    <w:div w:id="1439328989">
      <w:bodyDiv w:val="1"/>
      <w:marLeft w:val="0"/>
      <w:marRight w:val="0"/>
      <w:marTop w:val="0"/>
      <w:marBottom w:val="0"/>
      <w:divBdr>
        <w:top w:val="none" w:sz="0" w:space="0" w:color="auto"/>
        <w:left w:val="none" w:sz="0" w:space="0" w:color="auto"/>
        <w:bottom w:val="none" w:sz="0" w:space="0" w:color="auto"/>
        <w:right w:val="none" w:sz="0" w:space="0" w:color="auto"/>
      </w:divBdr>
    </w:div>
    <w:div w:id="1456169186">
      <w:bodyDiv w:val="1"/>
      <w:marLeft w:val="0"/>
      <w:marRight w:val="0"/>
      <w:marTop w:val="0"/>
      <w:marBottom w:val="0"/>
      <w:divBdr>
        <w:top w:val="none" w:sz="0" w:space="0" w:color="auto"/>
        <w:left w:val="none" w:sz="0" w:space="0" w:color="auto"/>
        <w:bottom w:val="none" w:sz="0" w:space="0" w:color="auto"/>
        <w:right w:val="none" w:sz="0" w:space="0" w:color="auto"/>
      </w:divBdr>
    </w:div>
    <w:div w:id="1461846580">
      <w:bodyDiv w:val="1"/>
      <w:marLeft w:val="0"/>
      <w:marRight w:val="0"/>
      <w:marTop w:val="0"/>
      <w:marBottom w:val="0"/>
      <w:divBdr>
        <w:top w:val="none" w:sz="0" w:space="0" w:color="auto"/>
        <w:left w:val="none" w:sz="0" w:space="0" w:color="auto"/>
        <w:bottom w:val="none" w:sz="0" w:space="0" w:color="auto"/>
        <w:right w:val="none" w:sz="0" w:space="0" w:color="auto"/>
      </w:divBdr>
    </w:div>
    <w:div w:id="1463188917">
      <w:bodyDiv w:val="1"/>
      <w:marLeft w:val="0"/>
      <w:marRight w:val="0"/>
      <w:marTop w:val="0"/>
      <w:marBottom w:val="0"/>
      <w:divBdr>
        <w:top w:val="none" w:sz="0" w:space="0" w:color="auto"/>
        <w:left w:val="none" w:sz="0" w:space="0" w:color="auto"/>
        <w:bottom w:val="none" w:sz="0" w:space="0" w:color="auto"/>
        <w:right w:val="none" w:sz="0" w:space="0" w:color="auto"/>
      </w:divBdr>
    </w:div>
    <w:div w:id="1509903679">
      <w:bodyDiv w:val="1"/>
      <w:marLeft w:val="0"/>
      <w:marRight w:val="0"/>
      <w:marTop w:val="0"/>
      <w:marBottom w:val="0"/>
      <w:divBdr>
        <w:top w:val="none" w:sz="0" w:space="0" w:color="auto"/>
        <w:left w:val="none" w:sz="0" w:space="0" w:color="auto"/>
        <w:bottom w:val="none" w:sz="0" w:space="0" w:color="auto"/>
        <w:right w:val="none" w:sz="0" w:space="0" w:color="auto"/>
      </w:divBdr>
    </w:div>
    <w:div w:id="1512260644">
      <w:bodyDiv w:val="1"/>
      <w:marLeft w:val="0"/>
      <w:marRight w:val="0"/>
      <w:marTop w:val="0"/>
      <w:marBottom w:val="0"/>
      <w:divBdr>
        <w:top w:val="none" w:sz="0" w:space="0" w:color="auto"/>
        <w:left w:val="none" w:sz="0" w:space="0" w:color="auto"/>
        <w:bottom w:val="none" w:sz="0" w:space="0" w:color="auto"/>
        <w:right w:val="none" w:sz="0" w:space="0" w:color="auto"/>
      </w:divBdr>
    </w:div>
    <w:div w:id="1535731828">
      <w:bodyDiv w:val="1"/>
      <w:marLeft w:val="0"/>
      <w:marRight w:val="0"/>
      <w:marTop w:val="0"/>
      <w:marBottom w:val="0"/>
      <w:divBdr>
        <w:top w:val="none" w:sz="0" w:space="0" w:color="auto"/>
        <w:left w:val="none" w:sz="0" w:space="0" w:color="auto"/>
        <w:bottom w:val="none" w:sz="0" w:space="0" w:color="auto"/>
        <w:right w:val="none" w:sz="0" w:space="0" w:color="auto"/>
      </w:divBdr>
    </w:div>
    <w:div w:id="1561549564">
      <w:bodyDiv w:val="1"/>
      <w:marLeft w:val="0"/>
      <w:marRight w:val="0"/>
      <w:marTop w:val="0"/>
      <w:marBottom w:val="0"/>
      <w:divBdr>
        <w:top w:val="none" w:sz="0" w:space="0" w:color="auto"/>
        <w:left w:val="none" w:sz="0" w:space="0" w:color="auto"/>
        <w:bottom w:val="none" w:sz="0" w:space="0" w:color="auto"/>
        <w:right w:val="none" w:sz="0" w:space="0" w:color="auto"/>
      </w:divBdr>
    </w:div>
    <w:div w:id="1562328245">
      <w:bodyDiv w:val="1"/>
      <w:marLeft w:val="0"/>
      <w:marRight w:val="0"/>
      <w:marTop w:val="0"/>
      <w:marBottom w:val="0"/>
      <w:divBdr>
        <w:top w:val="none" w:sz="0" w:space="0" w:color="auto"/>
        <w:left w:val="none" w:sz="0" w:space="0" w:color="auto"/>
        <w:bottom w:val="none" w:sz="0" w:space="0" w:color="auto"/>
        <w:right w:val="none" w:sz="0" w:space="0" w:color="auto"/>
      </w:divBdr>
    </w:div>
    <w:div w:id="1588154567">
      <w:bodyDiv w:val="1"/>
      <w:marLeft w:val="0"/>
      <w:marRight w:val="0"/>
      <w:marTop w:val="0"/>
      <w:marBottom w:val="0"/>
      <w:divBdr>
        <w:top w:val="none" w:sz="0" w:space="0" w:color="auto"/>
        <w:left w:val="none" w:sz="0" w:space="0" w:color="auto"/>
        <w:bottom w:val="none" w:sz="0" w:space="0" w:color="auto"/>
        <w:right w:val="none" w:sz="0" w:space="0" w:color="auto"/>
      </w:divBdr>
    </w:div>
    <w:div w:id="1598247211">
      <w:bodyDiv w:val="1"/>
      <w:marLeft w:val="0"/>
      <w:marRight w:val="0"/>
      <w:marTop w:val="0"/>
      <w:marBottom w:val="0"/>
      <w:divBdr>
        <w:top w:val="none" w:sz="0" w:space="0" w:color="auto"/>
        <w:left w:val="none" w:sz="0" w:space="0" w:color="auto"/>
        <w:bottom w:val="none" w:sz="0" w:space="0" w:color="auto"/>
        <w:right w:val="none" w:sz="0" w:space="0" w:color="auto"/>
      </w:divBdr>
    </w:div>
    <w:div w:id="1616904707">
      <w:bodyDiv w:val="1"/>
      <w:marLeft w:val="0"/>
      <w:marRight w:val="0"/>
      <w:marTop w:val="0"/>
      <w:marBottom w:val="0"/>
      <w:divBdr>
        <w:top w:val="none" w:sz="0" w:space="0" w:color="auto"/>
        <w:left w:val="none" w:sz="0" w:space="0" w:color="auto"/>
        <w:bottom w:val="none" w:sz="0" w:space="0" w:color="auto"/>
        <w:right w:val="none" w:sz="0" w:space="0" w:color="auto"/>
      </w:divBdr>
    </w:div>
    <w:div w:id="1636521031">
      <w:bodyDiv w:val="1"/>
      <w:marLeft w:val="0"/>
      <w:marRight w:val="0"/>
      <w:marTop w:val="0"/>
      <w:marBottom w:val="0"/>
      <w:divBdr>
        <w:top w:val="none" w:sz="0" w:space="0" w:color="auto"/>
        <w:left w:val="none" w:sz="0" w:space="0" w:color="auto"/>
        <w:bottom w:val="none" w:sz="0" w:space="0" w:color="auto"/>
        <w:right w:val="none" w:sz="0" w:space="0" w:color="auto"/>
      </w:divBdr>
    </w:div>
    <w:div w:id="1644197381">
      <w:bodyDiv w:val="1"/>
      <w:marLeft w:val="0"/>
      <w:marRight w:val="0"/>
      <w:marTop w:val="0"/>
      <w:marBottom w:val="0"/>
      <w:divBdr>
        <w:top w:val="none" w:sz="0" w:space="0" w:color="auto"/>
        <w:left w:val="none" w:sz="0" w:space="0" w:color="auto"/>
        <w:bottom w:val="none" w:sz="0" w:space="0" w:color="auto"/>
        <w:right w:val="none" w:sz="0" w:space="0" w:color="auto"/>
      </w:divBdr>
    </w:div>
    <w:div w:id="1656762140">
      <w:bodyDiv w:val="1"/>
      <w:marLeft w:val="0"/>
      <w:marRight w:val="0"/>
      <w:marTop w:val="0"/>
      <w:marBottom w:val="0"/>
      <w:divBdr>
        <w:top w:val="none" w:sz="0" w:space="0" w:color="auto"/>
        <w:left w:val="none" w:sz="0" w:space="0" w:color="auto"/>
        <w:bottom w:val="none" w:sz="0" w:space="0" w:color="auto"/>
        <w:right w:val="none" w:sz="0" w:space="0" w:color="auto"/>
      </w:divBdr>
    </w:div>
    <w:div w:id="1687823858">
      <w:bodyDiv w:val="1"/>
      <w:marLeft w:val="0"/>
      <w:marRight w:val="0"/>
      <w:marTop w:val="0"/>
      <w:marBottom w:val="0"/>
      <w:divBdr>
        <w:top w:val="none" w:sz="0" w:space="0" w:color="auto"/>
        <w:left w:val="none" w:sz="0" w:space="0" w:color="auto"/>
        <w:bottom w:val="none" w:sz="0" w:space="0" w:color="auto"/>
        <w:right w:val="none" w:sz="0" w:space="0" w:color="auto"/>
      </w:divBdr>
    </w:div>
    <w:div w:id="1700353574">
      <w:bodyDiv w:val="1"/>
      <w:marLeft w:val="0"/>
      <w:marRight w:val="0"/>
      <w:marTop w:val="0"/>
      <w:marBottom w:val="0"/>
      <w:divBdr>
        <w:top w:val="none" w:sz="0" w:space="0" w:color="auto"/>
        <w:left w:val="none" w:sz="0" w:space="0" w:color="auto"/>
        <w:bottom w:val="none" w:sz="0" w:space="0" w:color="auto"/>
        <w:right w:val="none" w:sz="0" w:space="0" w:color="auto"/>
      </w:divBdr>
    </w:div>
    <w:div w:id="1706179072">
      <w:bodyDiv w:val="1"/>
      <w:marLeft w:val="0"/>
      <w:marRight w:val="0"/>
      <w:marTop w:val="0"/>
      <w:marBottom w:val="0"/>
      <w:divBdr>
        <w:top w:val="none" w:sz="0" w:space="0" w:color="auto"/>
        <w:left w:val="none" w:sz="0" w:space="0" w:color="auto"/>
        <w:bottom w:val="none" w:sz="0" w:space="0" w:color="auto"/>
        <w:right w:val="none" w:sz="0" w:space="0" w:color="auto"/>
      </w:divBdr>
    </w:div>
    <w:div w:id="1781148850">
      <w:bodyDiv w:val="1"/>
      <w:marLeft w:val="0"/>
      <w:marRight w:val="0"/>
      <w:marTop w:val="0"/>
      <w:marBottom w:val="0"/>
      <w:divBdr>
        <w:top w:val="none" w:sz="0" w:space="0" w:color="auto"/>
        <w:left w:val="none" w:sz="0" w:space="0" w:color="auto"/>
        <w:bottom w:val="none" w:sz="0" w:space="0" w:color="auto"/>
        <w:right w:val="none" w:sz="0" w:space="0" w:color="auto"/>
      </w:divBdr>
    </w:div>
    <w:div w:id="1789348968">
      <w:bodyDiv w:val="1"/>
      <w:marLeft w:val="0"/>
      <w:marRight w:val="0"/>
      <w:marTop w:val="0"/>
      <w:marBottom w:val="0"/>
      <w:divBdr>
        <w:top w:val="none" w:sz="0" w:space="0" w:color="auto"/>
        <w:left w:val="none" w:sz="0" w:space="0" w:color="auto"/>
        <w:bottom w:val="none" w:sz="0" w:space="0" w:color="auto"/>
        <w:right w:val="none" w:sz="0" w:space="0" w:color="auto"/>
      </w:divBdr>
    </w:div>
    <w:div w:id="1817919117">
      <w:bodyDiv w:val="1"/>
      <w:marLeft w:val="0"/>
      <w:marRight w:val="0"/>
      <w:marTop w:val="0"/>
      <w:marBottom w:val="0"/>
      <w:divBdr>
        <w:top w:val="none" w:sz="0" w:space="0" w:color="auto"/>
        <w:left w:val="none" w:sz="0" w:space="0" w:color="auto"/>
        <w:bottom w:val="none" w:sz="0" w:space="0" w:color="auto"/>
        <w:right w:val="none" w:sz="0" w:space="0" w:color="auto"/>
      </w:divBdr>
    </w:div>
    <w:div w:id="1886679707">
      <w:bodyDiv w:val="1"/>
      <w:marLeft w:val="0"/>
      <w:marRight w:val="0"/>
      <w:marTop w:val="0"/>
      <w:marBottom w:val="0"/>
      <w:divBdr>
        <w:top w:val="none" w:sz="0" w:space="0" w:color="auto"/>
        <w:left w:val="none" w:sz="0" w:space="0" w:color="auto"/>
        <w:bottom w:val="none" w:sz="0" w:space="0" w:color="auto"/>
        <w:right w:val="none" w:sz="0" w:space="0" w:color="auto"/>
      </w:divBdr>
    </w:div>
    <w:div w:id="1896040510">
      <w:bodyDiv w:val="1"/>
      <w:marLeft w:val="0"/>
      <w:marRight w:val="0"/>
      <w:marTop w:val="0"/>
      <w:marBottom w:val="0"/>
      <w:divBdr>
        <w:top w:val="none" w:sz="0" w:space="0" w:color="auto"/>
        <w:left w:val="none" w:sz="0" w:space="0" w:color="auto"/>
        <w:bottom w:val="none" w:sz="0" w:space="0" w:color="auto"/>
        <w:right w:val="none" w:sz="0" w:space="0" w:color="auto"/>
      </w:divBdr>
    </w:div>
    <w:div w:id="1947271503">
      <w:bodyDiv w:val="1"/>
      <w:marLeft w:val="0"/>
      <w:marRight w:val="0"/>
      <w:marTop w:val="0"/>
      <w:marBottom w:val="0"/>
      <w:divBdr>
        <w:top w:val="none" w:sz="0" w:space="0" w:color="auto"/>
        <w:left w:val="none" w:sz="0" w:space="0" w:color="auto"/>
        <w:bottom w:val="none" w:sz="0" w:space="0" w:color="auto"/>
        <w:right w:val="none" w:sz="0" w:space="0" w:color="auto"/>
      </w:divBdr>
    </w:div>
    <w:div w:id="1950744818">
      <w:bodyDiv w:val="1"/>
      <w:marLeft w:val="0"/>
      <w:marRight w:val="0"/>
      <w:marTop w:val="0"/>
      <w:marBottom w:val="0"/>
      <w:divBdr>
        <w:top w:val="none" w:sz="0" w:space="0" w:color="auto"/>
        <w:left w:val="none" w:sz="0" w:space="0" w:color="auto"/>
        <w:bottom w:val="none" w:sz="0" w:space="0" w:color="auto"/>
        <w:right w:val="none" w:sz="0" w:space="0" w:color="auto"/>
      </w:divBdr>
    </w:div>
    <w:div w:id="2002004608">
      <w:bodyDiv w:val="1"/>
      <w:marLeft w:val="0"/>
      <w:marRight w:val="0"/>
      <w:marTop w:val="0"/>
      <w:marBottom w:val="0"/>
      <w:divBdr>
        <w:top w:val="none" w:sz="0" w:space="0" w:color="auto"/>
        <w:left w:val="none" w:sz="0" w:space="0" w:color="auto"/>
        <w:bottom w:val="none" w:sz="0" w:space="0" w:color="auto"/>
        <w:right w:val="none" w:sz="0" w:space="0" w:color="auto"/>
      </w:divBdr>
    </w:div>
    <w:div w:id="2008359159">
      <w:bodyDiv w:val="1"/>
      <w:marLeft w:val="0"/>
      <w:marRight w:val="0"/>
      <w:marTop w:val="0"/>
      <w:marBottom w:val="0"/>
      <w:divBdr>
        <w:top w:val="none" w:sz="0" w:space="0" w:color="auto"/>
        <w:left w:val="none" w:sz="0" w:space="0" w:color="auto"/>
        <w:bottom w:val="none" w:sz="0" w:space="0" w:color="auto"/>
        <w:right w:val="none" w:sz="0" w:space="0" w:color="auto"/>
      </w:divBdr>
    </w:div>
    <w:div w:id="209782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ker\Dropbox\Vorlagen\Kammergericht\Beschlu&#223;%20durch%20Sena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c2e0442a4871107b/Documents/1A%20Besoldung/Abstand%20zu%20anderen%20Besoldungsgruppen%20f&#252;r%20Schriftsat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annover\home\boemeke_p\Downloads\Abstand%20zu%20anderen%20Besoldungsgrupp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200" baseline="0"/>
              <a:t>Abstand R1 zur untersten Besoldungsgruppe (in %)</a:t>
            </a:r>
          </a:p>
        </c:rich>
      </c:tx>
      <c:layout>
        <c:manualLayout>
          <c:xMode val="edge"/>
          <c:yMode val="edge"/>
          <c:x val="0.14305555555555555"/>
          <c:y val="2.3059799325273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Tabelle1!$B$2</c:f>
              <c:strCache>
                <c:ptCount val="1"/>
                <c:pt idx="0">
                  <c:v>R1 Endstufe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Tabelle1!$B$3:$B$20</c:f>
            </c:numRef>
          </c:val>
          <c:smooth val="0"/>
          <c:extLst>
            <c:ext xmlns:c16="http://schemas.microsoft.com/office/drawing/2014/chart" uri="{C3380CC4-5D6E-409C-BE32-E72D297353CC}">
              <c16:uniqueId val="{00000000-390B-4A54-8CB9-B83BEC878EA5}"/>
            </c:ext>
          </c:extLst>
        </c:ser>
        <c:ser>
          <c:idx val="1"/>
          <c:order val="1"/>
          <c:tx>
            <c:strRef>
              <c:f>Tabelle1!$C$2</c:f>
              <c:strCache>
                <c:ptCount val="1"/>
                <c:pt idx="0">
                  <c:v>R2 Endstufe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Tabelle1!$C$3:$C$20</c:f>
            </c:numRef>
          </c:val>
          <c:smooth val="0"/>
          <c:extLst>
            <c:ext xmlns:c16="http://schemas.microsoft.com/office/drawing/2014/chart" uri="{C3380CC4-5D6E-409C-BE32-E72D297353CC}">
              <c16:uniqueId val="{00000001-390B-4A54-8CB9-B83BEC878EA5}"/>
            </c:ext>
          </c:extLst>
        </c:ser>
        <c:ser>
          <c:idx val="2"/>
          <c:order val="2"/>
          <c:tx>
            <c:strRef>
              <c:f>Tabelle1!$D$2</c:f>
              <c:strCache>
                <c:ptCount val="1"/>
                <c:pt idx="0">
                  <c:v>unterste Besoldungsgruppe Endstufe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Tabelle1!$D$3:$D$20</c:f>
            </c:numRef>
          </c:val>
          <c:smooth val="0"/>
          <c:extLst>
            <c:ext xmlns:c16="http://schemas.microsoft.com/office/drawing/2014/chart" uri="{C3380CC4-5D6E-409C-BE32-E72D297353CC}">
              <c16:uniqueId val="{00000002-390B-4A54-8CB9-B83BEC878EA5}"/>
            </c:ext>
          </c:extLst>
        </c:ser>
        <c:ser>
          <c:idx val="3"/>
          <c:order val="3"/>
          <c:tx>
            <c:strRef>
              <c:f>Tabelle1!$E$2</c:f>
              <c:strCache>
                <c:ptCount val="1"/>
                <c:pt idx="0">
                  <c:v>A 5 Endstufe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Tabelle1!$E$3:$E$20</c:f>
            </c:numRef>
          </c:val>
          <c:smooth val="0"/>
          <c:extLst>
            <c:ext xmlns:c16="http://schemas.microsoft.com/office/drawing/2014/chart" uri="{C3380CC4-5D6E-409C-BE32-E72D297353CC}">
              <c16:uniqueId val="{00000003-390B-4A54-8CB9-B83BEC878EA5}"/>
            </c:ext>
          </c:extLst>
        </c:ser>
        <c:ser>
          <c:idx val="4"/>
          <c:order val="4"/>
          <c:tx>
            <c:strRef>
              <c:f>Tabelle1!$F$2</c:f>
              <c:strCache>
                <c:ptCount val="1"/>
                <c:pt idx="0">
                  <c:v>Rel. Abstand R 1 zu unterster Besoldungsgruppe</c:v>
                </c:pt>
              </c:strCache>
            </c:strRef>
          </c:tx>
          <c:spPr>
            <a:ln w="28575" cap="rnd">
              <a:solidFill>
                <a:schemeClr val="accent5"/>
              </a:solidFill>
              <a:prstDash val="sysDot"/>
              <a:round/>
            </a:ln>
            <a:effectLst/>
          </c:spPr>
          <c:marker>
            <c:symbol val="none"/>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Tabelle1!$F$3:$F$20</c:f>
              <c:numCache>
                <c:formatCode>#,##0.00</c:formatCode>
                <c:ptCount val="18"/>
                <c:pt idx="0">
                  <c:v>192.62291787484</c:v>
                </c:pt>
                <c:pt idx="1">
                  <c:v>192.62291787484</c:v>
                </c:pt>
                <c:pt idx="2">
                  <c:v>192.62291787484</c:v>
                </c:pt>
                <c:pt idx="3">
                  <c:v>192.62291787484</c:v>
                </c:pt>
                <c:pt idx="4">
                  <c:v>191.59520211025642</c:v>
                </c:pt>
                <c:pt idx="5">
                  <c:v>191.59520211025642</c:v>
                </c:pt>
                <c:pt idx="6">
                  <c:v>192.71108646069737</c:v>
                </c:pt>
                <c:pt idx="7">
                  <c:v>167.46447761495807</c:v>
                </c:pt>
                <c:pt idx="8">
                  <c:v>167.55304115864996</c:v>
                </c:pt>
                <c:pt idx="9">
                  <c:v>167.64019259763631</c:v>
                </c:pt>
                <c:pt idx="10">
                  <c:v>167.76739218781012</c:v>
                </c:pt>
                <c:pt idx="11">
                  <c:v>167.88992089326788</c:v>
                </c:pt>
                <c:pt idx="12">
                  <c:v>166.66029295363791</c:v>
                </c:pt>
                <c:pt idx="13">
                  <c:v>161.89640669210047</c:v>
                </c:pt>
                <c:pt idx="14">
                  <c:v>157.57449510781416</c:v>
                </c:pt>
                <c:pt idx="15">
                  <c:v>158.00425173042319</c:v>
                </c:pt>
                <c:pt idx="16">
                  <c:v>158.41921319114616</c:v>
                </c:pt>
                <c:pt idx="17">
                  <c:v>137.83728611634467</c:v>
                </c:pt>
              </c:numCache>
            </c:numRef>
          </c:val>
          <c:smooth val="0"/>
          <c:extLst>
            <c:ext xmlns:c16="http://schemas.microsoft.com/office/drawing/2014/chart" uri="{C3380CC4-5D6E-409C-BE32-E72D297353CC}">
              <c16:uniqueId val="{00000004-390B-4A54-8CB9-B83BEC878EA5}"/>
            </c:ext>
          </c:extLst>
        </c:ser>
        <c:ser>
          <c:idx val="5"/>
          <c:order val="5"/>
          <c:tx>
            <c:strRef>
              <c:f>Tabelle1!$G$2</c:f>
              <c:strCache>
                <c:ptCount val="1"/>
                <c:pt idx="0">
                  <c:v>Abs. Abstand R 1 zu unterster Besoldungsgruppe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Tabelle1!$G$3:$G$20</c:f>
            </c:numRef>
          </c:val>
          <c:smooth val="0"/>
          <c:extLst>
            <c:ext xmlns:c16="http://schemas.microsoft.com/office/drawing/2014/chart" uri="{C3380CC4-5D6E-409C-BE32-E72D297353CC}">
              <c16:uniqueId val="{00000005-390B-4A54-8CB9-B83BEC878EA5}"/>
            </c:ext>
          </c:extLst>
        </c:ser>
        <c:ser>
          <c:idx val="6"/>
          <c:order val="6"/>
          <c:tx>
            <c:strRef>
              <c:f>Tabelle1!$H$2</c:f>
              <c:strCache>
                <c:ptCount val="1"/>
              </c:strCache>
            </c:strRef>
          </c:tx>
          <c:spPr>
            <a:ln w="28575" cap="rnd">
              <a:solidFill>
                <a:schemeClr val="accent1">
                  <a:lumMod val="60000"/>
                </a:schemeClr>
              </a:solidFill>
              <a:prstDash val="dash"/>
              <a:round/>
            </a:ln>
            <a:effectLst/>
          </c:spPr>
          <c:marker>
            <c:symbol val="none"/>
          </c:marker>
          <c:cat>
            <c:numRef>
              <c:f>Tabelle1!$A$3:$A$20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Tabelle1!$H$3:$H$20</c:f>
              <c:numCache>
                <c:formatCode>General</c:formatCode>
                <c:ptCount val="18"/>
              </c:numCache>
            </c:numRef>
          </c:val>
          <c:smooth val="0"/>
          <c:extLst>
            <c:ext xmlns:c16="http://schemas.microsoft.com/office/drawing/2014/chart" uri="{C3380CC4-5D6E-409C-BE32-E72D297353CC}">
              <c16:uniqueId val="{00000006-390B-4A54-8CB9-B83BEC878EA5}"/>
            </c:ext>
          </c:extLst>
        </c:ser>
        <c:dLbls>
          <c:showLegendKey val="0"/>
          <c:showVal val="0"/>
          <c:showCatName val="0"/>
          <c:showSerName val="0"/>
          <c:showPercent val="0"/>
          <c:showBubbleSize val="0"/>
        </c:dLbls>
        <c:smooth val="0"/>
        <c:axId val="487238720"/>
        <c:axId val="487240032"/>
      </c:lineChart>
      <c:catAx>
        <c:axId val="4872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7240032"/>
        <c:crosses val="autoZero"/>
        <c:auto val="1"/>
        <c:lblAlgn val="ctr"/>
        <c:lblOffset val="100"/>
        <c:noMultiLvlLbl val="0"/>
      </c:catAx>
      <c:valAx>
        <c:axId val="487240032"/>
        <c:scaling>
          <c:orientation val="minMax"/>
          <c:min val="12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72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Abstand R 1 zu Mindestbesoldung (in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Tabelle2!$B$2</c:f>
              <c:strCache>
                <c:ptCount val="1"/>
                <c:pt idx="0">
                  <c:v>R1 Endstufe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Tabelle2!$A$3:$A$20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Tabelle2!$B$3:$B$20</c:f>
            </c:numRef>
          </c:val>
          <c:smooth val="0"/>
          <c:extLst>
            <c:ext xmlns:c16="http://schemas.microsoft.com/office/drawing/2014/chart" uri="{C3380CC4-5D6E-409C-BE32-E72D297353CC}">
              <c16:uniqueId val="{00000000-E0AE-4B1E-93D9-AD26AE49FE99}"/>
            </c:ext>
          </c:extLst>
        </c:ser>
        <c:ser>
          <c:idx val="1"/>
          <c:order val="1"/>
          <c:tx>
            <c:strRef>
              <c:f>Tabelle2!$C$2</c:f>
              <c:strCache>
                <c:ptCount val="1"/>
                <c:pt idx="0">
                  <c:v>R2 Endstufe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Tabelle2!$A$3:$A$20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Tabelle2!$C$3:$C$20</c:f>
            </c:numRef>
          </c:val>
          <c:smooth val="0"/>
          <c:extLst>
            <c:ext xmlns:c16="http://schemas.microsoft.com/office/drawing/2014/chart" uri="{C3380CC4-5D6E-409C-BE32-E72D297353CC}">
              <c16:uniqueId val="{00000001-E0AE-4B1E-93D9-AD26AE49FE99}"/>
            </c:ext>
          </c:extLst>
        </c:ser>
        <c:ser>
          <c:idx val="2"/>
          <c:order val="2"/>
          <c:tx>
            <c:strRef>
              <c:f>Tabelle2!$D$2</c:f>
              <c:strCache>
                <c:ptCount val="1"/>
                <c:pt idx="0">
                  <c:v>unterste Besoldungsgruppe Endstufe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Tabelle2!$A$3:$A$20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Tabelle2!$D$3:$D$20</c:f>
            </c:numRef>
          </c:val>
          <c:smooth val="0"/>
          <c:extLst>
            <c:ext xmlns:c16="http://schemas.microsoft.com/office/drawing/2014/chart" uri="{C3380CC4-5D6E-409C-BE32-E72D297353CC}">
              <c16:uniqueId val="{00000002-E0AE-4B1E-93D9-AD26AE49FE99}"/>
            </c:ext>
          </c:extLst>
        </c:ser>
        <c:ser>
          <c:idx val="3"/>
          <c:order val="3"/>
          <c:tx>
            <c:strRef>
              <c:f>Tabelle2!$E$2</c:f>
              <c:strCache>
                <c:ptCount val="1"/>
                <c:pt idx="0">
                  <c:v>A 5 Endstufe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Tabelle2!$A$3:$A$20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Tabelle2!$E$3:$E$20</c:f>
            </c:numRef>
          </c:val>
          <c:smooth val="0"/>
          <c:extLst>
            <c:ext xmlns:c16="http://schemas.microsoft.com/office/drawing/2014/chart" uri="{C3380CC4-5D6E-409C-BE32-E72D297353CC}">
              <c16:uniqueId val="{00000003-E0AE-4B1E-93D9-AD26AE49FE99}"/>
            </c:ext>
          </c:extLst>
        </c:ser>
        <c:ser>
          <c:idx val="4"/>
          <c:order val="4"/>
          <c:tx>
            <c:strRef>
              <c:f>Tabelle2!$F$2</c:f>
              <c:strCache>
                <c:ptCount val="1"/>
                <c:pt idx="0">
                  <c:v>Rel. Abstand R 1 zu unterster Besoldungsgruppe</c:v>
                </c:pt>
              </c:strCache>
            </c:strRef>
          </c:tx>
          <c:spPr>
            <a:ln w="28575" cap="rnd">
              <a:solidFill>
                <a:schemeClr val="accent5"/>
              </a:solidFill>
              <a:round/>
            </a:ln>
            <a:effectLst/>
          </c:spPr>
          <c:marker>
            <c:symbol val="none"/>
          </c:marker>
          <c:cat>
            <c:numRef>
              <c:f>Tabelle2!$A$3:$A$20</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Tabelle2!$F$3:$F$20</c:f>
              <c:numCache>
                <c:formatCode>#,##0.00</c:formatCode>
                <c:ptCount val="18"/>
                <c:pt idx="0">
                  <c:v>192.62291787484</c:v>
                </c:pt>
                <c:pt idx="1">
                  <c:v>192.62291787484</c:v>
                </c:pt>
                <c:pt idx="2">
                  <c:v>192.62291787484</c:v>
                </c:pt>
                <c:pt idx="3">
                  <c:v>192.62291787484</c:v>
                </c:pt>
                <c:pt idx="4">
                  <c:v>191.59520211025642</c:v>
                </c:pt>
                <c:pt idx="5">
                  <c:v>164.82366851737612</c:v>
                </c:pt>
                <c:pt idx="6">
                  <c:v>158.22041598849691</c:v>
                </c:pt>
                <c:pt idx="7">
                  <c:v>154.88961573848832</c:v>
                </c:pt>
                <c:pt idx="8">
                  <c:v>151.24269005847952</c:v>
                </c:pt>
                <c:pt idx="9">
                  <c:v>152.54126836252823</c:v>
                </c:pt>
                <c:pt idx="10">
                  <c:v>152.85883219170444</c:v>
                </c:pt>
                <c:pt idx="11">
                  <c:v>154.49489904959631</c:v>
                </c:pt>
                <c:pt idx="12">
                  <c:v>150.24558387200429</c:v>
                </c:pt>
                <c:pt idx="13">
                  <c:v>148.21906004380878</c:v>
                </c:pt>
                <c:pt idx="14">
                  <c:v>151.12845407903714</c:v>
                </c:pt>
                <c:pt idx="15">
                  <c:v>152.83950899403189</c:v>
                </c:pt>
                <c:pt idx="16">
                  <c:v>157.68507589945602</c:v>
                </c:pt>
                <c:pt idx="17">
                  <c:v>137.83728611634467</c:v>
                </c:pt>
              </c:numCache>
            </c:numRef>
          </c:val>
          <c:smooth val="0"/>
          <c:extLst>
            <c:ext xmlns:c16="http://schemas.microsoft.com/office/drawing/2014/chart" uri="{C3380CC4-5D6E-409C-BE32-E72D297353CC}">
              <c16:uniqueId val="{00000004-E0AE-4B1E-93D9-AD26AE49FE99}"/>
            </c:ext>
          </c:extLst>
        </c:ser>
        <c:dLbls>
          <c:showLegendKey val="0"/>
          <c:showVal val="0"/>
          <c:showCatName val="0"/>
          <c:showSerName val="0"/>
          <c:showPercent val="0"/>
          <c:showBubbleSize val="0"/>
        </c:dLbls>
        <c:smooth val="0"/>
        <c:axId val="452317808"/>
        <c:axId val="452316168"/>
      </c:lineChart>
      <c:catAx>
        <c:axId val="45231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52316168"/>
        <c:crosses val="autoZero"/>
        <c:auto val="1"/>
        <c:lblAlgn val="ctr"/>
        <c:lblOffset val="100"/>
        <c:noMultiLvlLbl val="0"/>
      </c:catAx>
      <c:valAx>
        <c:axId val="452316168"/>
        <c:scaling>
          <c:orientation val="minMax"/>
          <c:max val="200"/>
          <c:min val="12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5231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3DC8-7F47-4E67-B86B-E52C105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Beschluß durch Senat</Template>
  <TotalTime>0</TotalTime>
  <Pages>37</Pages>
  <Words>12823</Words>
  <Characters>80787</Characters>
  <Application>Microsoft Office Word</Application>
  <DocSecurity>0</DocSecurity>
  <Lines>673</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Spiegel</cp:lastModifiedBy>
  <cp:revision>52</cp:revision>
  <cp:lastPrinted>2022-02-11T09:23:00Z</cp:lastPrinted>
  <dcterms:created xsi:type="dcterms:W3CDTF">2022-02-09T13:57:00Z</dcterms:created>
  <dcterms:modified xsi:type="dcterms:W3CDTF">2022-02-11T12:38:00Z</dcterms:modified>
</cp:coreProperties>
</file>